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四川银行定开系列6个月8号净值型理财产品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四川银行定开系列6个月8号净值型理财产品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264,101,000.00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四川银行-四川银行定开系列6个月8号净值型理财产品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11.94</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1,210,919.69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1,499,359.82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266,642,292.53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266,642,292.53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1.1194</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231,517,813.42</w:t>
            </w:r>
          </w:p>
        </w:tc>
        <w:tc>
          <w:tcPr>
            <w:tcW w:w="1749" w:type="dxa"/>
            <w:shd w:val="clear" w:color="auto" w:fill="auto"/>
            <w:vAlign w:val="center"/>
          </w:tcPr>
          <w:p>
            <w:pPr>
              <w:jc w:val="right"/>
            </w:pPr>
            <w:r>
              <w:t>85.67</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222,015,202.93</w:t>
            </w:r>
          </w:p>
        </w:tc>
        <w:tc>
          <w:tcPr>
            <w:tcW w:w="1749" w:type="dxa"/>
            <w:shd w:val="clear" w:color="auto" w:fill="auto"/>
            <w:vAlign w:val="center"/>
          </w:tcPr>
          <w:p>
            <w:pPr>
              <w:jc w:val="right"/>
            </w:pPr>
            <w:r>
              <w:t>82.16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9,502,610.49</w:t>
            </w:r>
          </w:p>
        </w:tc>
        <w:tc>
          <w:tcPr>
            <w:tcW w:w="1749" w:type="dxa"/>
            <w:shd w:val="clear" w:color="auto" w:fill="auto"/>
            <w:vAlign w:val="center"/>
          </w:tcPr>
          <w:p>
            <w:pPr>
              <w:jc w:val="right"/>
            </w:pPr>
            <w:r>
              <w:t>3.52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38,002,325.33</w:t>
            </w:r>
          </w:p>
        </w:tc>
        <w:tc>
          <w:tcPr>
            <w:tcW w:w="1749" w:type="dxa"/>
            <w:shd w:val="clear" w:color="auto" w:fill="auto"/>
            <w:vAlign w:val="center"/>
          </w:tcPr>
          <w:p>
            <w:pPr>
              <w:jc w:val="right"/>
            </w:pPr>
            <w:r>
              <w:t>14.06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538,114.69</w:t>
            </w:r>
          </w:p>
        </w:tc>
        <w:tc>
          <w:tcPr>
            <w:tcW w:w="1749" w:type="dxa"/>
            <w:shd w:val="clear" w:color="auto" w:fill="auto"/>
            <w:vAlign w:val="center"/>
          </w:tcPr>
          <w:p>
            <w:pPr>
              <w:jc w:val="right"/>
            </w:pPr>
            <w:r>
              <w:t>0.20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172,905.31</w:t>
            </w:r>
          </w:p>
        </w:tc>
        <w:tc>
          <w:tcPr>
            <w:tcW w:w="1749" w:type="dxa"/>
            <w:shd w:val="clear" w:color="auto" w:fill="auto"/>
            <w:vAlign w:val="center"/>
          </w:tcPr>
          <w:p>
            <w:pPr>
              <w:jc w:val="right"/>
            </w:pPr>
            <w:r>
              <w:t>0.06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270,231,158.75</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38,002,325.33</w:t>
            </w:r>
          </w:p>
        </w:tc>
        <w:tc>
          <w:tcPr>
            <w:tcW w:w="2431" w:type="dxa"/>
            <w:shd w:val="clear" w:color="auto" w:fill="auto"/>
            <w:vAlign w:val="center"/>
          </w:tcPr>
          <w:p>
            <w:pPr>
              <w:jc w:val="right"/>
            </w:pPr>
            <w:bookmarkStart w:id="3" w:name="OLE_LINK6"/>
            <w:bookmarkEnd w:id="3"/>
            <w:bookmarkStart w:id="4" w:name="OLE_LINK5"/>
            <w:bookmarkEnd w:id="4"/>
            <w:r>
              <w:rPr>
                <w:rFonts w:hint="eastAsia"/>
              </w:rPr>
              <w:t>14.25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24自高01</w:t>
            </w:r>
          </w:p>
        </w:tc>
        <w:tc>
          <w:tcPr>
            <w:tcW w:w="2693" w:type="dxa"/>
            <w:shd w:val="clear" w:color="auto" w:fill="auto"/>
            <w:vAlign w:val="center"/>
          </w:tcPr>
          <w:p>
            <w:pPr>
              <w:ind w:hanging="1"/>
              <w:jc w:val="right"/>
            </w:pPr>
            <w:r>
              <w:rPr>
                <w:b w:val="0"/>
                <w:i w:val="0"/>
                <w:strike w:val="0"/>
                <w:u w:val="none"/>
              </w:rPr>
              <w:t>21,277,561.64</w:t>
            </w:r>
          </w:p>
        </w:tc>
        <w:tc>
          <w:tcPr>
            <w:tcW w:w="2431" w:type="dxa"/>
            <w:shd w:val="clear" w:color="auto" w:fill="auto"/>
            <w:vAlign w:val="center"/>
          </w:tcPr>
          <w:p>
            <w:pPr>
              <w:ind w:hanging="1"/>
              <w:jc w:val="right"/>
            </w:pPr>
            <w:r>
              <w:rPr>
                <w:rFonts w:hint="eastAsia"/>
                <w:b w:val="0"/>
                <w:i w:val="0"/>
                <w:strike w:val="0"/>
                <w:u w:val="none"/>
              </w:rPr>
              <w:t>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21,241,726.03</w:t>
            </w:r>
          </w:p>
        </w:tc>
        <w:tc>
          <w:tcPr>
            <w:tcW w:w="2431" w:type="dxa"/>
            <w:shd w:val="clear" w:color="auto" w:fill="auto"/>
            <w:vAlign w:val="center"/>
          </w:tcPr>
          <w:p>
            <w:pPr>
              <w:ind w:hanging="1"/>
              <w:jc w:val="right"/>
            </w:pPr>
            <w:r>
              <w:rPr>
                <w:rFonts w:hint="eastAsia"/>
                <w:b w:val="0"/>
                <w:i w:val="0"/>
                <w:strike w:val="0"/>
                <w:u w:val="none"/>
              </w:rPr>
              <w:t>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24简城01</w:t>
            </w:r>
          </w:p>
        </w:tc>
        <w:tc>
          <w:tcPr>
            <w:tcW w:w="2693" w:type="dxa"/>
            <w:shd w:val="clear" w:color="auto" w:fill="auto"/>
            <w:vAlign w:val="center"/>
          </w:tcPr>
          <w:p>
            <w:pPr>
              <w:ind w:hanging="1"/>
              <w:jc w:val="right"/>
            </w:pPr>
            <w:r>
              <w:rPr>
                <w:b w:val="0"/>
                <w:i w:val="0"/>
                <w:strike w:val="0"/>
                <w:u w:val="none"/>
              </w:rPr>
              <w:t>21,177,863.01</w:t>
            </w:r>
          </w:p>
        </w:tc>
        <w:tc>
          <w:tcPr>
            <w:tcW w:w="2431" w:type="dxa"/>
            <w:shd w:val="clear" w:color="auto" w:fill="auto"/>
            <w:vAlign w:val="center"/>
          </w:tcPr>
          <w:p>
            <w:pPr>
              <w:ind w:hanging="1"/>
              <w:jc w:val="right"/>
            </w:pPr>
            <w:r>
              <w:rPr>
                <w:rFonts w:hint="eastAsia"/>
                <w:b w:val="0"/>
                <w:i w:val="0"/>
                <w:strike w:val="0"/>
                <w:u w:val="none"/>
              </w:rPr>
              <w:t>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24泸州产业PPN001</w:t>
            </w:r>
          </w:p>
        </w:tc>
        <w:tc>
          <w:tcPr>
            <w:tcW w:w="2693" w:type="dxa"/>
            <w:shd w:val="clear" w:color="auto" w:fill="auto"/>
            <w:vAlign w:val="center"/>
          </w:tcPr>
          <w:p>
            <w:pPr>
              <w:ind w:hanging="1"/>
              <w:jc w:val="right"/>
            </w:pPr>
            <w:r>
              <w:rPr>
                <w:b w:val="0"/>
                <w:i w:val="0"/>
                <w:strike w:val="0"/>
                <w:u w:val="none"/>
              </w:rPr>
              <w:t>21,041,232.88</w:t>
            </w:r>
          </w:p>
        </w:tc>
        <w:tc>
          <w:tcPr>
            <w:tcW w:w="2431" w:type="dxa"/>
            <w:shd w:val="clear" w:color="auto" w:fill="auto"/>
            <w:vAlign w:val="center"/>
          </w:tcPr>
          <w:p>
            <w:pPr>
              <w:ind w:hanging="1"/>
              <w:jc w:val="right"/>
            </w:pPr>
            <w:r>
              <w:rPr>
                <w:rFonts w:hint="eastAsia"/>
                <w:b w:val="0"/>
                <w:i w:val="0"/>
                <w:strike w:val="0"/>
                <w:u w:val="none"/>
              </w:rPr>
              <w:t>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22彭州医投债</w:t>
            </w:r>
          </w:p>
        </w:tc>
        <w:tc>
          <w:tcPr>
            <w:tcW w:w="2693" w:type="dxa"/>
            <w:shd w:val="clear" w:color="auto" w:fill="auto"/>
            <w:vAlign w:val="center"/>
          </w:tcPr>
          <w:p>
            <w:pPr>
              <w:ind w:hanging="1"/>
              <w:jc w:val="right"/>
            </w:pPr>
            <w:r>
              <w:rPr>
                <w:b w:val="0"/>
                <w:i w:val="0"/>
                <w:strike w:val="0"/>
                <w:u w:val="none"/>
              </w:rPr>
              <w:t>17,478,631.51</w:t>
            </w:r>
          </w:p>
        </w:tc>
        <w:tc>
          <w:tcPr>
            <w:tcW w:w="2431" w:type="dxa"/>
            <w:shd w:val="clear" w:color="auto" w:fill="auto"/>
            <w:vAlign w:val="center"/>
          </w:tcPr>
          <w:p>
            <w:pPr>
              <w:ind w:hanging="1"/>
              <w:jc w:val="right"/>
            </w:pPr>
            <w:r>
              <w:rPr>
                <w:rFonts w:hint="eastAsia"/>
                <w:b w:val="0"/>
                <w:i w:val="0"/>
                <w:strike w:val="0"/>
                <w:u w:val="none"/>
              </w:rPr>
              <w:t>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25贵阳银行CD111</w:t>
            </w:r>
          </w:p>
        </w:tc>
        <w:tc>
          <w:tcPr>
            <w:tcW w:w="2693" w:type="dxa"/>
            <w:shd w:val="clear" w:color="auto" w:fill="auto"/>
            <w:vAlign w:val="center"/>
          </w:tcPr>
          <w:p>
            <w:pPr>
              <w:ind w:hanging="1"/>
              <w:jc w:val="right"/>
            </w:pPr>
            <w:r>
              <w:rPr>
                <w:b w:val="0"/>
                <w:i w:val="0"/>
                <w:strike w:val="0"/>
                <w:u w:val="none"/>
              </w:rPr>
              <w:t>14,832,497.59</w:t>
            </w:r>
          </w:p>
        </w:tc>
        <w:tc>
          <w:tcPr>
            <w:tcW w:w="2431" w:type="dxa"/>
            <w:shd w:val="clear" w:color="auto" w:fill="auto"/>
            <w:vAlign w:val="center"/>
          </w:tcPr>
          <w:p>
            <w:pPr>
              <w:ind w:hanging="1"/>
              <w:jc w:val="right"/>
            </w:pPr>
            <w:r>
              <w:rPr>
                <w:rFonts w:hint="eastAsia"/>
                <w:b w:val="0"/>
                <w:i w:val="0"/>
                <w:strike w:val="0"/>
                <w:u w:val="none"/>
              </w:rPr>
              <w:t>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24新津城乡PPN001B</w:t>
            </w:r>
          </w:p>
        </w:tc>
        <w:tc>
          <w:tcPr>
            <w:tcW w:w="2693" w:type="dxa"/>
            <w:shd w:val="clear" w:color="auto" w:fill="auto"/>
            <w:vAlign w:val="center"/>
          </w:tcPr>
          <w:p>
            <w:pPr>
              <w:ind w:hanging="1"/>
              <w:jc w:val="right"/>
            </w:pPr>
            <w:r>
              <w:rPr>
                <w:b w:val="0"/>
                <w:i w:val="0"/>
                <w:strike w:val="0"/>
                <w:u w:val="none"/>
              </w:rPr>
              <w:t>11,282,835.62</w:t>
            </w:r>
          </w:p>
        </w:tc>
        <w:tc>
          <w:tcPr>
            <w:tcW w:w="2431" w:type="dxa"/>
            <w:shd w:val="clear" w:color="auto" w:fill="auto"/>
            <w:vAlign w:val="center"/>
          </w:tcPr>
          <w:p>
            <w:pPr>
              <w:ind w:hanging="1"/>
              <w:jc w:val="right"/>
            </w:pPr>
            <w:r>
              <w:rPr>
                <w:rFonts w:hint="eastAsia"/>
                <w:b w:val="0"/>
                <w:i w:val="0"/>
                <w:strike w:val="0"/>
                <w:u w:val="none"/>
              </w:rPr>
              <w:t>4.23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pPr>
              <w:ind w:hanging="1"/>
              <w:jc w:val="right"/>
            </w:pPr>
            <w:r>
              <w:rPr>
                <w:b w:val="0"/>
                <w:i w:val="0"/>
                <w:strike w:val="0"/>
                <w:u w:val="none"/>
              </w:rPr>
              <w:t>10,479,109.59</w:t>
            </w:r>
          </w:p>
        </w:tc>
        <w:tc>
          <w:tcPr>
            <w:tcW w:w="2431" w:type="dxa"/>
            <w:shd w:val="clear" w:color="auto" w:fill="auto"/>
            <w:vAlign w:val="center"/>
          </w:tcPr>
          <w:p>
            <w:pPr>
              <w:ind w:hanging="1"/>
              <w:jc w:val="right"/>
            </w:pPr>
            <w:r>
              <w:rPr>
                <w:rFonts w:hint="eastAsia"/>
                <w:b w:val="0"/>
                <w:i w:val="0"/>
                <w:strike w:val="0"/>
                <w:u w:val="none"/>
              </w:rPr>
              <w:t>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25厦门银行CD070</w:t>
            </w:r>
          </w:p>
        </w:tc>
        <w:tc>
          <w:tcPr>
            <w:tcW w:w="2693" w:type="dxa"/>
            <w:shd w:val="clear" w:color="auto" w:fill="auto"/>
            <w:vAlign w:val="center"/>
          </w:tcPr>
          <w:p>
            <w:pPr>
              <w:ind w:hanging="1"/>
              <w:jc w:val="right"/>
            </w:pPr>
            <w:r>
              <w:rPr>
                <w:b w:val="0"/>
                <w:i w:val="0"/>
                <w:strike w:val="0"/>
                <w:u w:val="none"/>
              </w:rPr>
              <w:t>9,893,035.95</w:t>
            </w:r>
          </w:p>
        </w:tc>
        <w:tc>
          <w:tcPr>
            <w:tcW w:w="2431" w:type="dxa"/>
            <w:shd w:val="clear" w:color="auto" w:fill="auto"/>
            <w:vAlign w:val="center"/>
          </w:tcPr>
          <w:p>
            <w:pPr>
              <w:ind w:hanging="1"/>
              <w:jc w:val="right"/>
            </w:pPr>
            <w:r>
              <w:rPr>
                <w:rFonts w:hint="eastAsia"/>
                <w:b w:val="0"/>
                <w:i w:val="0"/>
                <w:strike w:val="0"/>
                <w:u w:val="none"/>
              </w:rPr>
              <w:t>3.71</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07A10BFE"/>
    <w:rsid w:val="1DD13355"/>
    <w:rsid w:val="1F246194"/>
    <w:rsid w:val="21AF23DE"/>
    <w:rsid w:val="250932D9"/>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2026-01-12T07:13:30Z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E8EC16715424445A9D4DA32A67BD8C41</vt:lpwstr>
  </property>
</Properties>
</file>