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四川银行定开系列1个月2号净值型理财产品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四川银行定开系列1个月2号净值型理财产品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1,216,032,886.00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四川银行-四川银行定开系列1个月2号净值型理财产品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lang w:val="en-US" w:eastAsia="zh-CN"/>
              </w:rPr>
              <w:t>招商银行</w:t>
            </w:r>
            <w:r>
              <w:rPr>
                <w:rFonts w:hint="eastAsia" w:ascii="宋体" w:hAnsi="宋体"/>
              </w:rPr>
              <w:t>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8.55</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3,940,293.79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4,081,777.79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1,216,166,149.88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1.0855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1,216,166,149.88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1.0855</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632,031,912.15</w:t>
            </w:r>
          </w:p>
        </w:tc>
        <w:tc>
          <w:tcPr>
            <w:tcW w:w="1749" w:type="dxa"/>
            <w:shd w:val="clear" w:color="auto" w:fill="auto"/>
            <w:vAlign w:val="center"/>
          </w:tcPr>
          <w:p>
            <w:pPr>
              <w:jc w:val="right"/>
            </w:pPr>
            <w:r>
              <w:t>51.90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601,132,320.83</w:t>
            </w:r>
          </w:p>
        </w:tc>
        <w:tc>
          <w:tcPr>
            <w:tcW w:w="1749" w:type="dxa"/>
            <w:shd w:val="clear" w:color="auto" w:fill="auto"/>
            <w:vAlign w:val="center"/>
          </w:tcPr>
          <w:p>
            <w:pPr>
              <w:jc w:val="right"/>
            </w:pPr>
            <w:r>
              <w:t>49.37</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30,899,591.32</w:t>
            </w:r>
          </w:p>
        </w:tc>
        <w:tc>
          <w:tcPr>
            <w:tcW w:w="1749" w:type="dxa"/>
            <w:shd w:val="clear" w:color="auto" w:fill="auto"/>
            <w:vAlign w:val="center"/>
          </w:tcPr>
          <w:p>
            <w:pPr>
              <w:jc w:val="right"/>
            </w:pPr>
            <w:r>
              <w:t>2.54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114,006,975.99</w:t>
            </w:r>
          </w:p>
        </w:tc>
        <w:tc>
          <w:tcPr>
            <w:tcW w:w="1749" w:type="dxa"/>
            <w:shd w:val="clear" w:color="auto" w:fill="auto"/>
            <w:vAlign w:val="center"/>
          </w:tcPr>
          <w:p>
            <w:pPr>
              <w:jc w:val="right"/>
            </w:pPr>
            <w:r>
              <w:t>9.36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471,634,876.43</w:t>
            </w:r>
          </w:p>
        </w:tc>
        <w:tc>
          <w:tcPr>
            <w:tcW w:w="1749" w:type="dxa"/>
            <w:shd w:val="clear" w:color="auto" w:fill="auto"/>
            <w:vAlign w:val="center"/>
          </w:tcPr>
          <w:p>
            <w:pPr>
              <w:jc w:val="right"/>
            </w:pPr>
            <w:r>
              <w:t>38.73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16,626.40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1,217,690,390.97</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114,006,975.99</w:t>
            </w:r>
          </w:p>
        </w:tc>
        <w:tc>
          <w:tcPr>
            <w:tcW w:w="2431" w:type="dxa"/>
            <w:shd w:val="clear" w:color="auto" w:fill="auto"/>
            <w:vAlign w:val="center"/>
          </w:tcPr>
          <w:p>
            <w:pPr>
              <w:jc w:val="right"/>
            </w:pPr>
            <w:bookmarkStart w:id="3" w:name="OLE_LINK6"/>
            <w:bookmarkEnd w:id="3"/>
            <w:bookmarkStart w:id="4" w:name="OLE_LINK5"/>
            <w:bookmarkEnd w:id="4"/>
            <w:r>
              <w:rPr>
                <w:rFonts w:hint="eastAsia"/>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41,706,098.63</w:t>
            </w:r>
          </w:p>
        </w:tc>
        <w:tc>
          <w:tcPr>
            <w:tcW w:w="2431" w:type="dxa"/>
            <w:shd w:val="clear" w:color="auto" w:fill="auto"/>
            <w:vAlign w:val="center"/>
          </w:tcPr>
          <w:p>
            <w:pPr>
              <w:ind w:hanging="1"/>
              <w:jc w:val="right"/>
            </w:pPr>
            <w:r>
              <w:rPr>
                <w:rFonts w:hint="eastAsia"/>
                <w:b w:val="0"/>
                <w:i w:val="0"/>
                <w:strike w:val="0"/>
                <w:u w:val="none"/>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23广安MTN001</w:t>
            </w:r>
          </w:p>
        </w:tc>
        <w:tc>
          <w:tcPr>
            <w:tcW w:w="2693" w:type="dxa"/>
            <w:shd w:val="clear" w:color="auto" w:fill="auto"/>
            <w:vAlign w:val="center"/>
          </w:tcPr>
          <w:p>
            <w:pPr>
              <w:ind w:hanging="1"/>
              <w:jc w:val="right"/>
            </w:pPr>
            <w:r>
              <w:rPr>
                <w:b w:val="0"/>
                <w:i w:val="0"/>
                <w:strike w:val="0"/>
                <w:u w:val="none"/>
              </w:rPr>
              <w:t>38,492,215.07</w:t>
            </w:r>
          </w:p>
        </w:tc>
        <w:tc>
          <w:tcPr>
            <w:tcW w:w="2431" w:type="dxa"/>
            <w:shd w:val="clear" w:color="auto" w:fill="auto"/>
            <w:vAlign w:val="center"/>
          </w:tcPr>
          <w:p>
            <w:pPr>
              <w:ind w:hanging="1"/>
              <w:jc w:val="right"/>
            </w:pPr>
            <w:r>
              <w:rPr>
                <w:rFonts w:hint="eastAsia"/>
                <w:b w:val="0"/>
                <w:i w:val="0"/>
                <w:strike w:val="0"/>
                <w:u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25吉林银行CD143</w:t>
            </w:r>
          </w:p>
        </w:tc>
        <w:tc>
          <w:tcPr>
            <w:tcW w:w="2693" w:type="dxa"/>
            <w:shd w:val="clear" w:color="auto" w:fill="auto"/>
            <w:vAlign w:val="center"/>
          </w:tcPr>
          <w:p>
            <w:pPr>
              <w:ind w:hanging="1"/>
              <w:jc w:val="right"/>
            </w:pPr>
            <w:r>
              <w:rPr>
                <w:b w:val="0"/>
                <w:i w:val="0"/>
                <w:strike w:val="0"/>
                <w:u w:val="none"/>
              </w:rPr>
              <w:t>29,920,137.33</w:t>
            </w:r>
          </w:p>
        </w:tc>
        <w:tc>
          <w:tcPr>
            <w:tcW w:w="2431" w:type="dxa"/>
            <w:shd w:val="clear" w:color="auto" w:fill="auto"/>
            <w:vAlign w:val="center"/>
          </w:tcPr>
          <w:p>
            <w:pPr>
              <w:ind w:hanging="1"/>
              <w:jc w:val="right"/>
            </w:pPr>
            <w:r>
              <w:rPr>
                <w:rFonts w:hint="eastAsia"/>
                <w:b w:val="0"/>
                <w:i w:val="0"/>
                <w:strike w:val="0"/>
                <w:u w:val="none"/>
              </w:rPr>
              <w:t>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25珠海华润银行CD047</w:t>
            </w:r>
          </w:p>
        </w:tc>
        <w:tc>
          <w:tcPr>
            <w:tcW w:w="2693" w:type="dxa"/>
            <w:shd w:val="clear" w:color="auto" w:fill="auto"/>
            <w:vAlign w:val="center"/>
          </w:tcPr>
          <w:p>
            <w:pPr>
              <w:ind w:hanging="1"/>
              <w:jc w:val="right"/>
            </w:pPr>
            <w:r>
              <w:rPr>
                <w:b w:val="0"/>
                <w:i w:val="0"/>
                <w:strike w:val="0"/>
                <w:u w:val="none"/>
              </w:rPr>
              <w:t>29,679,107.84</w:t>
            </w:r>
          </w:p>
        </w:tc>
        <w:tc>
          <w:tcPr>
            <w:tcW w:w="2431" w:type="dxa"/>
            <w:shd w:val="clear" w:color="auto" w:fill="auto"/>
            <w:vAlign w:val="center"/>
          </w:tcPr>
          <w:p>
            <w:pPr>
              <w:ind w:hanging="1"/>
              <w:jc w:val="right"/>
            </w:pPr>
            <w:r>
              <w:rPr>
                <w:rFonts w:hint="eastAsia"/>
                <w:b w:val="0"/>
                <w:i w:val="0"/>
                <w:strike w:val="0"/>
                <w:u w:val="none"/>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21攀国投</w:t>
            </w:r>
          </w:p>
        </w:tc>
        <w:tc>
          <w:tcPr>
            <w:tcW w:w="2693" w:type="dxa"/>
            <w:shd w:val="clear" w:color="auto" w:fill="auto"/>
            <w:vAlign w:val="center"/>
          </w:tcPr>
          <w:p>
            <w:pPr>
              <w:ind w:hanging="1"/>
              <w:jc w:val="right"/>
            </w:pPr>
            <w:r>
              <w:rPr>
                <w:b w:val="0"/>
                <w:i w:val="0"/>
                <w:strike w:val="0"/>
                <w:u w:val="none"/>
              </w:rPr>
              <w:t>27,291,082.19</w:t>
            </w:r>
          </w:p>
        </w:tc>
        <w:tc>
          <w:tcPr>
            <w:tcW w:w="2431" w:type="dxa"/>
            <w:shd w:val="clear" w:color="auto" w:fill="auto"/>
            <w:vAlign w:val="center"/>
          </w:tcPr>
          <w:p>
            <w:pPr>
              <w:ind w:hanging="1"/>
              <w:jc w:val="right"/>
            </w:pPr>
            <w:r>
              <w:rPr>
                <w:rFonts w:hint="eastAsia"/>
                <w:b w:val="0"/>
                <w:i w:val="0"/>
                <w:strike w:val="0"/>
                <w:u w:val="none"/>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24泸州产业PPN001</w:t>
            </w:r>
          </w:p>
        </w:tc>
        <w:tc>
          <w:tcPr>
            <w:tcW w:w="2693" w:type="dxa"/>
            <w:shd w:val="clear" w:color="auto" w:fill="auto"/>
            <w:vAlign w:val="center"/>
          </w:tcPr>
          <w:p>
            <w:pPr>
              <w:ind w:hanging="1"/>
              <w:jc w:val="right"/>
            </w:pPr>
            <w:r>
              <w:rPr>
                <w:b w:val="0"/>
                <w:i w:val="0"/>
                <w:strike w:val="0"/>
                <w:u w:val="none"/>
              </w:rPr>
              <w:t>21,041,232.88</w:t>
            </w:r>
          </w:p>
        </w:tc>
        <w:tc>
          <w:tcPr>
            <w:tcW w:w="2431" w:type="dxa"/>
            <w:shd w:val="clear" w:color="auto" w:fill="auto"/>
            <w:vAlign w:val="center"/>
          </w:tcPr>
          <w:p>
            <w:pPr>
              <w:ind w:hanging="1"/>
              <w:jc w:val="right"/>
            </w:pPr>
            <w:r>
              <w:rPr>
                <w:rFonts w:hint="eastAsia"/>
                <w:b w:val="0"/>
                <w:i w:val="0"/>
                <w:strike w:val="0"/>
                <w:u w:val="none"/>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蓉工31A1</w:t>
            </w:r>
          </w:p>
        </w:tc>
        <w:tc>
          <w:tcPr>
            <w:tcW w:w="2693" w:type="dxa"/>
            <w:shd w:val="clear" w:color="auto" w:fill="auto"/>
            <w:vAlign w:val="center"/>
          </w:tcPr>
          <w:p>
            <w:pPr>
              <w:ind w:hanging="1"/>
              <w:jc w:val="right"/>
            </w:pPr>
            <w:r>
              <w:rPr>
                <w:b w:val="0"/>
                <w:i w:val="0"/>
                <w:strike w:val="0"/>
                <w:u w:val="none"/>
              </w:rPr>
              <w:t>20,860,035.16</w:t>
            </w:r>
          </w:p>
        </w:tc>
        <w:tc>
          <w:tcPr>
            <w:tcW w:w="2431" w:type="dxa"/>
            <w:shd w:val="clear" w:color="auto" w:fill="auto"/>
            <w:vAlign w:val="center"/>
          </w:tcPr>
          <w:p>
            <w:pPr>
              <w:ind w:hanging="1"/>
              <w:jc w:val="right"/>
            </w:pPr>
            <w:r>
              <w:rPr>
                <w:rFonts w:hint="eastAsia"/>
                <w:b w:val="0"/>
                <w:i w:val="0"/>
                <w:strike w:val="0"/>
                <w:u w:val="none"/>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20,608,027.40</w:t>
            </w:r>
          </w:p>
        </w:tc>
        <w:tc>
          <w:tcPr>
            <w:tcW w:w="2431" w:type="dxa"/>
            <w:shd w:val="clear" w:color="auto" w:fill="auto"/>
            <w:vAlign w:val="center"/>
          </w:tcPr>
          <w:p>
            <w:pPr>
              <w:ind w:hanging="1"/>
              <w:jc w:val="right"/>
            </w:pPr>
            <w:r>
              <w:rPr>
                <w:rFonts w:hint="eastAsia"/>
                <w:b w:val="0"/>
                <w:i w:val="0"/>
                <w:strike w:val="0"/>
                <w:u w:val="none"/>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1.68</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本报告期末，本产品投资的</w:t>
      </w:r>
      <w:r>
        <w:rPr>
          <w:rFonts w:asciiTheme="majorEastAsia" w:hAnsiTheme="majorEastAsia" w:eastAsiaTheme="majorEastAsia"/>
          <w:b w:val="0"/>
          <w:i w:val="0"/>
          <w:strike w:val="0"/>
          <w:u w:val="none"/>
        </w:rPr>
        <w:t>蓉工31A1</w:t>
      </w:r>
      <w:r>
        <w:rPr>
          <w:rFonts w:hint="eastAsia" w:asciiTheme="minorEastAsia" w:hAnsiTheme="minorEastAsia" w:eastAsiaTheme="minorEastAsia"/>
          <w:szCs w:val="21"/>
        </w:rPr>
        <w:t>属于关联交易。</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1269"/>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262B6A07"/>
    <w:rsid w:val="30D863E3"/>
    <w:rsid w:val="35706056"/>
    <w:rsid w:val="35844C1F"/>
    <w:rsid w:val="378A66D0"/>
    <w:rsid w:val="46050EA9"/>
    <w:rsid w:val="49D862C5"/>
    <w:rsid w:val="4B474E5A"/>
    <w:rsid w:val="51E06E0A"/>
    <w:rsid w:val="53167101"/>
    <w:rsid w:val="5B5FA6DC"/>
    <w:rsid w:val="63BE4DA7"/>
    <w:rsid w:val="6C3003D5"/>
    <w:rsid w:val="6CB6511A"/>
    <w:rsid w:val="72252E6F"/>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0</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2026-01-14T07:23:48Z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48B9020DC199424684FFE603B0A9B91E</vt:lpwstr>
  </property>
</Properties>
</file>