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四川银行定开系列6个月3号净值型理财产品</w:t>
      </w:r>
    </w:p>
    <w:p>
      <w:pPr>
        <w:jc w:val="center"/>
        <w:rPr>
          <w:rFonts w:ascii="宋体" w:hAnsi="宋体"/>
          <w:b/>
          <w:bCs/>
          <w:sz w:val="48"/>
          <w:szCs w:val="30"/>
        </w:rPr>
      </w:pPr>
      <w:r>
        <w:rPr>
          <w:rFonts w:ascii="宋体" w:hAnsi="宋体"/>
          <w:b/>
          <w:bCs/>
          <w:sz w:val="48"/>
          <w:szCs w:val="30"/>
        </w:rPr>
        <w:t>2025年第3季度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自2025-07-01起至2025-09-30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四川银行定开系列6个月3号净值型理财产品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2021-12-07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590,119,000.00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[2.25%-3.25%]/年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四川银行-四川银行定开系列6个月3号净值型理财产品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2025-07-01</w:t>
            </w:r>
            <w:r>
              <w:rPr>
                <w:rFonts w:hint="eastAsia" w:ascii="宋体" w:hAnsi="宋体"/>
              </w:rPr>
              <w:t>至</w:t>
            </w:r>
            <w:r>
              <w:rPr>
                <w:rFonts w:ascii="宋体" w:hAnsi="宋体"/>
              </w:rPr>
              <w:t>2025-09-30</w:t>
            </w:r>
            <w:r>
              <w:rPr>
                <w:rFonts w:hint="eastAsia" w:ascii="宋体" w:hAnsi="宋体"/>
              </w:rPr>
              <w:t>）</w:t>
            </w:r>
          </w:p>
        </w:tc>
        <w:tc>
          <w:tcPr>
            <w:tcW w:w="5103" w:type="dxa"/>
            <w:vAlign w:val="center"/>
          </w:tcPr>
          <w:p>
            <w:pPr>
              <w:jc w:val="right"/>
            </w:pPr>
            <w:r>
              <w:t>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12.86</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2025-07-01</w:t>
            </w:r>
            <w:r>
              <w:rPr>
                <w:rFonts w:hint="eastAsia"/>
                <w:b/>
              </w:rPr>
              <w:t xml:space="preserve">至 </w:t>
            </w:r>
            <w:r>
              <w:rPr>
                <w:b/>
              </w:rPr>
              <w:t>2025-09-30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5,781,184.11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3,346,532.26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594,375,132.24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1.1286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594,375,132.24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1.1286</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491,026,054.27</w:t>
            </w:r>
          </w:p>
        </w:tc>
        <w:tc>
          <w:tcPr>
            <w:tcW w:w="1749" w:type="dxa"/>
            <w:shd w:val="clear" w:color="auto" w:fill="auto"/>
            <w:vAlign w:val="center"/>
          </w:tcPr>
          <w:p>
            <w:pPr>
              <w:jc w:val="right"/>
            </w:pPr>
            <w:r>
              <w:t>82.11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491,026,054.27</w:t>
            </w:r>
          </w:p>
        </w:tc>
        <w:tc>
          <w:tcPr>
            <w:tcW w:w="1749" w:type="dxa"/>
            <w:shd w:val="clear" w:color="auto" w:fill="auto"/>
            <w:vAlign w:val="center"/>
          </w:tcPr>
          <w:p>
            <w:pPr>
              <w:jc w:val="right"/>
            </w:pPr>
            <w:r>
              <w:t>82.11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106,004,866.42</w:t>
            </w:r>
          </w:p>
        </w:tc>
        <w:tc>
          <w:tcPr>
            <w:tcW w:w="1749" w:type="dxa"/>
            <w:shd w:val="clear" w:color="auto" w:fill="auto"/>
            <w:vAlign w:val="center"/>
          </w:tcPr>
          <w:p>
            <w:pPr>
              <w:jc w:val="right"/>
            </w:pPr>
            <w:r>
              <w:t>17.73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853,150.70</w:t>
            </w:r>
          </w:p>
        </w:tc>
        <w:tc>
          <w:tcPr>
            <w:tcW w:w="1749" w:type="dxa"/>
            <w:shd w:val="clear" w:color="auto" w:fill="auto"/>
            <w:vAlign w:val="center"/>
          </w:tcPr>
          <w:p>
            <w:pPr>
              <w:jc w:val="right"/>
            </w:pPr>
            <w:r>
              <w:t>0.14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112,340.70</w:t>
            </w:r>
          </w:p>
        </w:tc>
        <w:tc>
          <w:tcPr>
            <w:tcW w:w="1749" w:type="dxa"/>
            <w:shd w:val="clear" w:color="auto" w:fill="auto"/>
            <w:vAlign w:val="center"/>
          </w:tcPr>
          <w:p>
            <w:pPr>
              <w:jc w:val="right"/>
            </w:pPr>
            <w:r>
              <w:t>0.02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597,996,412.09</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GC014</w:t>
            </w:r>
          </w:p>
        </w:tc>
        <w:tc>
          <w:tcPr>
            <w:tcW w:w="2693" w:type="dxa"/>
            <w:shd w:val="clear" w:color="auto" w:fill="auto"/>
            <w:vAlign w:val="center"/>
          </w:tcPr>
          <w:p>
            <w:pPr>
              <w:jc w:val="right"/>
            </w:pPr>
            <w:r>
              <w:t>106,004,866.42</w:t>
            </w:r>
          </w:p>
        </w:tc>
        <w:tc>
          <w:tcPr>
            <w:tcW w:w="2431" w:type="dxa"/>
            <w:shd w:val="clear" w:color="auto" w:fill="auto"/>
            <w:vAlign w:val="center"/>
          </w:tcPr>
          <w:p>
            <w:pPr>
              <w:jc w:val="right"/>
            </w:pPr>
            <w:bookmarkStart w:id="3" w:name="OLE_LINK5"/>
            <w:bookmarkEnd w:id="3"/>
            <w:bookmarkStart w:id="4" w:name="OLE_LINK6"/>
            <w:bookmarkEnd w:id="4"/>
            <w:r>
              <w:rPr>
                <w:rFonts w:hint="eastAsia"/>
              </w:rPr>
              <w:t>17.83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22眉控01</w:t>
            </w:r>
          </w:p>
        </w:tc>
        <w:tc>
          <w:tcPr>
            <w:tcW w:w="2693" w:type="dxa"/>
            <w:shd w:val="clear" w:color="auto" w:fill="auto"/>
            <w:vAlign w:val="center"/>
          </w:tcPr>
          <w:p>
            <w:pPr>
              <w:ind w:hanging="1"/>
              <w:jc w:val="right"/>
            </w:pPr>
            <w:r>
              <w:rPr>
                <w:b w:val="0"/>
                <w:i w:val="0"/>
                <w:strike w:val="0"/>
                <w:u w:val="none"/>
              </w:rPr>
              <w:t>31,427,260.28</w:t>
            </w:r>
          </w:p>
        </w:tc>
        <w:tc>
          <w:tcPr>
            <w:tcW w:w="2431" w:type="dxa"/>
            <w:shd w:val="clear" w:color="auto" w:fill="auto"/>
            <w:vAlign w:val="center"/>
          </w:tcPr>
          <w:p>
            <w:pPr>
              <w:ind w:hanging="1"/>
              <w:jc w:val="right"/>
            </w:pPr>
            <w:r>
              <w:rPr>
                <w:rFonts w:hint="eastAsia"/>
                <w:b w:val="0"/>
                <w:i w:val="0"/>
                <w:strike w:val="0"/>
                <w:u w:val="none"/>
              </w:rPr>
              <w:t>5.29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24泸投01</w:t>
            </w:r>
          </w:p>
        </w:tc>
        <w:tc>
          <w:tcPr>
            <w:tcW w:w="2693" w:type="dxa"/>
            <w:shd w:val="clear" w:color="auto" w:fill="auto"/>
            <w:vAlign w:val="center"/>
          </w:tcPr>
          <w:p>
            <w:pPr>
              <w:ind w:hanging="1"/>
              <w:jc w:val="right"/>
            </w:pPr>
            <w:r>
              <w:rPr>
                <w:b w:val="0"/>
                <w:i w:val="0"/>
                <w:strike w:val="0"/>
                <w:u w:val="none"/>
              </w:rPr>
              <w:t>25,532,876.71</w:t>
            </w:r>
          </w:p>
        </w:tc>
        <w:tc>
          <w:tcPr>
            <w:tcW w:w="2431" w:type="dxa"/>
            <w:shd w:val="clear" w:color="auto" w:fill="auto"/>
            <w:vAlign w:val="center"/>
          </w:tcPr>
          <w:p>
            <w:pPr>
              <w:ind w:hanging="1"/>
              <w:jc w:val="right"/>
            </w:pPr>
            <w:r>
              <w:rPr>
                <w:rFonts w:hint="eastAsia"/>
                <w:b w:val="0"/>
                <w:i w:val="0"/>
                <w:strike w:val="0"/>
                <w:u w:val="none"/>
              </w:rPr>
              <w:t>4.30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24乐高01</w:t>
            </w:r>
          </w:p>
        </w:tc>
        <w:tc>
          <w:tcPr>
            <w:tcW w:w="2693" w:type="dxa"/>
            <w:shd w:val="clear" w:color="auto" w:fill="auto"/>
            <w:vAlign w:val="center"/>
          </w:tcPr>
          <w:p>
            <w:pPr>
              <w:ind w:hanging="1"/>
              <w:jc w:val="right"/>
            </w:pPr>
            <w:r>
              <w:rPr>
                <w:b w:val="0"/>
                <w:i w:val="0"/>
                <w:strike w:val="0"/>
                <w:u w:val="none"/>
              </w:rPr>
              <w:t>24,831,912.33</w:t>
            </w:r>
          </w:p>
        </w:tc>
        <w:tc>
          <w:tcPr>
            <w:tcW w:w="2431" w:type="dxa"/>
            <w:shd w:val="clear" w:color="auto" w:fill="auto"/>
            <w:vAlign w:val="center"/>
          </w:tcPr>
          <w:p>
            <w:pPr>
              <w:ind w:hanging="1"/>
              <w:jc w:val="right"/>
            </w:pPr>
            <w:r>
              <w:rPr>
                <w:rFonts w:hint="eastAsia"/>
                <w:b w:val="0"/>
                <w:i w:val="0"/>
                <w:strike w:val="0"/>
                <w:u w:val="none"/>
              </w:rPr>
              <w:t>4.18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24阜阳债</w:t>
            </w:r>
          </w:p>
        </w:tc>
        <w:tc>
          <w:tcPr>
            <w:tcW w:w="2693" w:type="dxa"/>
            <w:shd w:val="clear" w:color="auto" w:fill="auto"/>
            <w:vAlign w:val="center"/>
          </w:tcPr>
          <w:p>
            <w:pPr>
              <w:ind w:hanging="1"/>
              <w:jc w:val="right"/>
            </w:pPr>
            <w:r>
              <w:rPr>
                <w:b w:val="0"/>
                <w:i w:val="0"/>
                <w:strike w:val="0"/>
                <w:u w:val="none"/>
              </w:rPr>
              <w:t>21,111,643.84</w:t>
            </w:r>
          </w:p>
        </w:tc>
        <w:tc>
          <w:tcPr>
            <w:tcW w:w="2431" w:type="dxa"/>
            <w:shd w:val="clear" w:color="auto" w:fill="auto"/>
            <w:vAlign w:val="center"/>
          </w:tcPr>
          <w:p>
            <w:pPr>
              <w:ind w:hanging="1"/>
              <w:jc w:val="right"/>
            </w:pPr>
            <w:r>
              <w:rPr>
                <w:rFonts w:hint="eastAsia"/>
                <w:b w:val="0"/>
                <w:i w:val="0"/>
                <w:strike w:val="0"/>
                <w:u w:val="none"/>
              </w:rPr>
              <w:t>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24龙阳天府PPN002</w:t>
            </w:r>
          </w:p>
        </w:tc>
        <w:tc>
          <w:tcPr>
            <w:tcW w:w="2693" w:type="dxa"/>
            <w:shd w:val="clear" w:color="auto" w:fill="auto"/>
            <w:vAlign w:val="center"/>
          </w:tcPr>
          <w:p>
            <w:pPr>
              <w:ind w:hanging="1"/>
              <w:jc w:val="right"/>
            </w:pPr>
            <w:r>
              <w:rPr>
                <w:b w:val="0"/>
                <w:i w:val="0"/>
                <w:strike w:val="0"/>
                <w:u w:val="none"/>
              </w:rPr>
              <w:t>20,625,430.14</w:t>
            </w:r>
          </w:p>
        </w:tc>
        <w:tc>
          <w:tcPr>
            <w:tcW w:w="2431" w:type="dxa"/>
            <w:shd w:val="clear" w:color="auto" w:fill="auto"/>
            <w:vAlign w:val="center"/>
          </w:tcPr>
          <w:p>
            <w:pPr>
              <w:ind w:hanging="1"/>
              <w:jc w:val="right"/>
            </w:pPr>
            <w:r>
              <w:rPr>
                <w:rFonts w:hint="eastAsia"/>
                <w:b w:val="0"/>
                <w:i w:val="0"/>
                <w:strike w:val="0"/>
                <w:u w:val="none"/>
              </w:rPr>
              <w:t>3.47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24成都开投PPN002</w:t>
            </w:r>
          </w:p>
        </w:tc>
        <w:tc>
          <w:tcPr>
            <w:tcW w:w="2693" w:type="dxa"/>
            <w:shd w:val="clear" w:color="auto" w:fill="auto"/>
            <w:vAlign w:val="center"/>
          </w:tcPr>
          <w:p>
            <w:pPr>
              <w:ind w:hanging="1"/>
              <w:jc w:val="right"/>
            </w:pPr>
            <w:r>
              <w:rPr>
                <w:b w:val="0"/>
                <w:i w:val="0"/>
                <w:strike w:val="0"/>
                <w:u w:val="none"/>
              </w:rPr>
              <w:t>20,580,767.12</w:t>
            </w:r>
          </w:p>
        </w:tc>
        <w:tc>
          <w:tcPr>
            <w:tcW w:w="2431" w:type="dxa"/>
            <w:shd w:val="clear" w:color="auto" w:fill="auto"/>
            <w:vAlign w:val="center"/>
          </w:tcPr>
          <w:p>
            <w:pPr>
              <w:ind w:hanging="1"/>
              <w:jc w:val="right"/>
            </w:pPr>
            <w:r>
              <w:rPr>
                <w:rFonts w:hint="eastAsia"/>
                <w:b w:val="0"/>
                <w:i w:val="0"/>
                <w:strike w:val="0"/>
                <w:u w:val="none"/>
              </w:rPr>
              <w:t>3.46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23达州高科MTN001</w:t>
            </w:r>
          </w:p>
        </w:tc>
        <w:tc>
          <w:tcPr>
            <w:tcW w:w="2693" w:type="dxa"/>
            <w:shd w:val="clear" w:color="auto" w:fill="auto"/>
            <w:vAlign w:val="center"/>
          </w:tcPr>
          <w:p>
            <w:pPr>
              <w:ind w:hanging="1"/>
              <w:jc w:val="right"/>
            </w:pPr>
            <w:r>
              <w:rPr>
                <w:b w:val="0"/>
                <w:i w:val="0"/>
                <w:strike w:val="0"/>
                <w:u w:val="none"/>
              </w:rPr>
              <w:t>20,483,178.08</w:t>
            </w:r>
          </w:p>
        </w:tc>
        <w:tc>
          <w:tcPr>
            <w:tcW w:w="2431" w:type="dxa"/>
            <w:shd w:val="clear" w:color="auto" w:fill="auto"/>
            <w:vAlign w:val="center"/>
          </w:tcPr>
          <w:p>
            <w:pPr>
              <w:ind w:hanging="1"/>
              <w:jc w:val="right"/>
            </w:pPr>
            <w:r>
              <w:rPr>
                <w:rFonts w:hint="eastAsia"/>
                <w:b w:val="0"/>
                <w:i w:val="0"/>
                <w:strike w:val="0"/>
                <w:u w:val="none"/>
              </w:rPr>
              <w:t>3.45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24西汇投资PPN001</w:t>
            </w:r>
          </w:p>
        </w:tc>
        <w:tc>
          <w:tcPr>
            <w:tcW w:w="2693" w:type="dxa"/>
            <w:shd w:val="clear" w:color="auto" w:fill="auto"/>
            <w:vAlign w:val="center"/>
          </w:tcPr>
          <w:p>
            <w:pPr>
              <w:ind w:hanging="1"/>
              <w:jc w:val="right"/>
            </w:pPr>
            <w:r>
              <w:rPr>
                <w:b w:val="0"/>
                <w:i w:val="0"/>
                <w:strike w:val="0"/>
                <w:u w:val="none"/>
              </w:rPr>
              <w:t>20,241,857.53</w:t>
            </w:r>
          </w:p>
        </w:tc>
        <w:tc>
          <w:tcPr>
            <w:tcW w:w="2431" w:type="dxa"/>
            <w:shd w:val="clear" w:color="auto" w:fill="auto"/>
            <w:vAlign w:val="center"/>
          </w:tcPr>
          <w:p>
            <w:pPr>
              <w:ind w:hanging="1"/>
              <w:jc w:val="right"/>
            </w:pPr>
            <w:r>
              <w:rPr>
                <w:rFonts w:hint="eastAsia"/>
                <w:b w:val="0"/>
                <w:i w:val="0"/>
                <w:strike w:val="0"/>
                <w:u w:val="none"/>
              </w:rPr>
              <w:t>3.41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24邛崃建投PPN001</w:t>
            </w:r>
          </w:p>
        </w:tc>
        <w:tc>
          <w:tcPr>
            <w:tcW w:w="2693" w:type="dxa"/>
            <w:shd w:val="clear" w:color="auto" w:fill="auto"/>
            <w:vAlign w:val="center"/>
          </w:tcPr>
          <w:p>
            <w:pPr>
              <w:ind w:hanging="1"/>
              <w:jc w:val="right"/>
            </w:pPr>
            <w:r>
              <w:rPr>
                <w:b w:val="0"/>
                <w:i w:val="0"/>
                <w:strike w:val="0"/>
                <w:u w:val="none"/>
              </w:rPr>
              <w:t>20,228,263.01</w:t>
            </w:r>
          </w:p>
        </w:tc>
        <w:tc>
          <w:tcPr>
            <w:tcW w:w="2431" w:type="dxa"/>
            <w:shd w:val="clear" w:color="auto" w:fill="auto"/>
            <w:vAlign w:val="center"/>
          </w:tcPr>
          <w:p>
            <w:pPr>
              <w:ind w:hanging="1"/>
              <w:jc w:val="right"/>
            </w:pPr>
            <w:r>
              <w:rPr>
                <w:rFonts w:hint="eastAsia"/>
                <w:b w:val="0"/>
                <w:i w:val="0"/>
                <w:strike w:val="0"/>
                <w:u w:val="none"/>
              </w:rPr>
              <w:t>3.40</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2025-10-15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0B40575A"/>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178</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2025-10-16T06:57:16Z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886282353113464C8D83118EC92737DC</vt:lpwstr>
  </property>
</Properties>
</file>