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四川银行定开系列6个月2号净值型理财产品</w:t>
      </w:r>
    </w:p>
    <w:p>
      <w:pPr>
        <w:jc w:val="center"/>
        <w:rPr>
          <w:rFonts w:ascii="宋体" w:hAnsi="宋体"/>
          <w:b/>
          <w:bCs/>
          <w:sz w:val="48"/>
          <w:szCs w:val="30"/>
        </w:rPr>
      </w:pPr>
      <w:r>
        <w:rPr>
          <w:rFonts w:ascii="宋体" w:hAnsi="宋体"/>
          <w:b/>
          <w:bCs/>
          <w:sz w:val="48"/>
          <w:szCs w:val="30"/>
        </w:rPr>
        <w:t>2025年第3季度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自2025-07-01起至2025-09-30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四川银行定开系列6个月2号净值型理财产品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2021-11-26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605,332,100.00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[2.25%-3.25%]/年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四川银行-四川银行定开系列6个月2号净值型理财产品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128912158810403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2025-07-01</w:t>
            </w:r>
            <w:r>
              <w:rPr>
                <w:rFonts w:hint="eastAsia" w:ascii="宋体" w:hAnsi="宋体"/>
              </w:rPr>
              <w:t>至</w:t>
            </w:r>
            <w:r>
              <w:rPr>
                <w:rFonts w:ascii="宋体" w:hAnsi="宋体"/>
              </w:rPr>
              <w:t>2025-09-30</w:t>
            </w:r>
            <w:r>
              <w:rPr>
                <w:rFonts w:hint="eastAsia" w:ascii="宋体" w:hAnsi="宋体"/>
              </w:rPr>
              <w:t>）</w:t>
            </w:r>
          </w:p>
        </w:tc>
        <w:tc>
          <w:tcPr>
            <w:tcW w:w="5103" w:type="dxa"/>
            <w:vAlign w:val="center"/>
          </w:tcPr>
          <w:p>
            <w:pPr>
              <w:jc w:val="right"/>
            </w:pPr>
            <w: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13.31</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2025-07-01</w:t>
            </w:r>
            <w:r>
              <w:rPr>
                <w:rFonts w:hint="eastAsia"/>
                <w:b/>
              </w:rPr>
              <w:t xml:space="preserve">至 </w:t>
            </w:r>
            <w:r>
              <w:rPr>
                <w:b/>
              </w:rPr>
              <w:t>2025-09-30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5,446,830.69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3,432,979.31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610,257,679.01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610,257,679.01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1.1331</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490,463,085.56</w:t>
            </w:r>
          </w:p>
        </w:tc>
        <w:tc>
          <w:tcPr>
            <w:tcW w:w="1749" w:type="dxa"/>
            <w:shd w:val="clear" w:color="auto" w:fill="auto"/>
            <w:vAlign w:val="center"/>
          </w:tcPr>
          <w:p>
            <w:pPr>
              <w:jc w:val="right"/>
            </w:pPr>
            <w:r>
              <w:t>80.02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490,463,085.56</w:t>
            </w:r>
          </w:p>
        </w:tc>
        <w:tc>
          <w:tcPr>
            <w:tcW w:w="1749" w:type="dxa"/>
            <w:shd w:val="clear" w:color="auto" w:fill="auto"/>
            <w:vAlign w:val="center"/>
          </w:tcPr>
          <w:p>
            <w:pPr>
              <w:jc w:val="right"/>
            </w:pPr>
            <w:r>
              <w:t>80.02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122,005,600.97</w:t>
            </w:r>
          </w:p>
        </w:tc>
        <w:tc>
          <w:tcPr>
            <w:tcW w:w="1749" w:type="dxa"/>
            <w:shd w:val="clear" w:color="auto" w:fill="auto"/>
            <w:vAlign w:val="center"/>
          </w:tcPr>
          <w:p>
            <w:pPr>
              <w:jc w:val="right"/>
            </w:pPr>
            <w:r>
              <w:t>19.91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393,089.35</w:t>
            </w:r>
          </w:p>
        </w:tc>
        <w:tc>
          <w:tcPr>
            <w:tcW w:w="1749" w:type="dxa"/>
            <w:shd w:val="clear" w:color="auto" w:fill="auto"/>
            <w:vAlign w:val="center"/>
          </w:tcPr>
          <w:p>
            <w:pPr>
              <w:jc w:val="right"/>
            </w:pPr>
            <w:r>
              <w:t>0.06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30,249.98</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612,892,025.86</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GC014</w:t>
            </w:r>
          </w:p>
        </w:tc>
        <w:tc>
          <w:tcPr>
            <w:tcW w:w="2693" w:type="dxa"/>
            <w:shd w:val="clear" w:color="auto" w:fill="auto"/>
            <w:vAlign w:val="center"/>
          </w:tcPr>
          <w:p>
            <w:pPr>
              <w:jc w:val="right"/>
            </w:pPr>
            <w:r>
              <w:t>122,005,600.97</w:t>
            </w:r>
          </w:p>
        </w:tc>
        <w:tc>
          <w:tcPr>
            <w:tcW w:w="2431" w:type="dxa"/>
            <w:shd w:val="clear" w:color="auto" w:fill="auto"/>
            <w:vAlign w:val="center"/>
          </w:tcPr>
          <w:p>
            <w:pPr>
              <w:jc w:val="right"/>
            </w:pPr>
            <w:bookmarkStart w:id="3" w:name="OLE_LINK5"/>
            <w:bookmarkEnd w:id="3"/>
            <w:bookmarkStart w:id="4" w:name="OLE_LINK6"/>
            <w:bookmarkEnd w:id="4"/>
            <w:r>
              <w:rPr>
                <w:rFonts w:hint="eastAsia"/>
              </w:rPr>
              <w:t>19.99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22眉控01</w:t>
            </w:r>
          </w:p>
        </w:tc>
        <w:tc>
          <w:tcPr>
            <w:tcW w:w="2693" w:type="dxa"/>
            <w:shd w:val="clear" w:color="auto" w:fill="auto"/>
            <w:vAlign w:val="center"/>
          </w:tcPr>
          <w:p>
            <w:pPr>
              <w:ind w:hanging="1"/>
              <w:jc w:val="right"/>
            </w:pPr>
            <w:r>
              <w:rPr>
                <w:b w:val="0"/>
                <w:i w:val="0"/>
                <w:strike w:val="0"/>
                <w:u w:val="none"/>
              </w:rPr>
              <w:t>52,378,767.13</w:t>
            </w:r>
          </w:p>
        </w:tc>
        <w:tc>
          <w:tcPr>
            <w:tcW w:w="2431" w:type="dxa"/>
            <w:shd w:val="clear" w:color="auto" w:fill="auto"/>
            <w:vAlign w:val="center"/>
          </w:tcPr>
          <w:p>
            <w:pPr>
              <w:ind w:hanging="1"/>
              <w:jc w:val="right"/>
            </w:pPr>
            <w:r>
              <w:rPr>
                <w:rFonts w:hint="eastAsia"/>
                <w:b w:val="0"/>
                <w:i w:val="0"/>
                <w:strike w:val="0"/>
                <w:u w:val="none"/>
              </w:rPr>
              <w:t>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23阳安债</w:t>
            </w:r>
          </w:p>
        </w:tc>
        <w:tc>
          <w:tcPr>
            <w:tcW w:w="2693" w:type="dxa"/>
            <w:shd w:val="clear" w:color="auto" w:fill="auto"/>
            <w:vAlign w:val="center"/>
          </w:tcPr>
          <w:p>
            <w:pPr>
              <w:ind w:hanging="1"/>
              <w:jc w:val="right"/>
            </w:pPr>
            <w:r>
              <w:rPr>
                <w:b w:val="0"/>
                <w:i w:val="0"/>
                <w:strike w:val="0"/>
                <w:u w:val="none"/>
              </w:rPr>
              <w:t>21,758,684.93</w:t>
            </w:r>
          </w:p>
        </w:tc>
        <w:tc>
          <w:tcPr>
            <w:tcW w:w="2431" w:type="dxa"/>
            <w:shd w:val="clear" w:color="auto" w:fill="auto"/>
            <w:vAlign w:val="center"/>
          </w:tcPr>
          <w:p>
            <w:pPr>
              <w:ind w:hanging="1"/>
              <w:jc w:val="right"/>
            </w:pPr>
            <w:r>
              <w:rPr>
                <w:rFonts w:hint="eastAsia"/>
                <w:b w:val="0"/>
                <w:i w:val="0"/>
                <w:strike w:val="0"/>
                <w:u w:val="none"/>
              </w:rPr>
              <w:t>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23达州投资MTN001</w:t>
            </w:r>
          </w:p>
        </w:tc>
        <w:tc>
          <w:tcPr>
            <w:tcW w:w="2693" w:type="dxa"/>
            <w:shd w:val="clear" w:color="auto" w:fill="auto"/>
            <w:vAlign w:val="center"/>
          </w:tcPr>
          <w:p>
            <w:pPr>
              <w:ind w:hanging="1"/>
              <w:jc w:val="right"/>
            </w:pPr>
            <w:r>
              <w:rPr>
                <w:b w:val="0"/>
                <w:i w:val="0"/>
                <w:strike w:val="0"/>
                <w:u w:val="none"/>
              </w:rPr>
              <w:t>20,794,767.12</w:t>
            </w:r>
          </w:p>
        </w:tc>
        <w:tc>
          <w:tcPr>
            <w:tcW w:w="2431" w:type="dxa"/>
            <w:shd w:val="clear" w:color="auto" w:fill="auto"/>
            <w:vAlign w:val="center"/>
          </w:tcPr>
          <w:p>
            <w:pPr>
              <w:ind w:hanging="1"/>
              <w:jc w:val="right"/>
            </w:pPr>
            <w:r>
              <w:rPr>
                <w:rFonts w:hint="eastAsia"/>
                <w:b w:val="0"/>
                <w:i w:val="0"/>
                <w:strike w:val="0"/>
                <w:u w:val="none"/>
              </w:rPr>
              <w:t>3.41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24兴锦农业PPN001A</w:t>
            </w:r>
          </w:p>
        </w:tc>
        <w:tc>
          <w:tcPr>
            <w:tcW w:w="2693" w:type="dxa"/>
            <w:shd w:val="clear" w:color="auto" w:fill="auto"/>
            <w:vAlign w:val="center"/>
          </w:tcPr>
          <w:p>
            <w:pPr>
              <w:ind w:hanging="1"/>
              <w:jc w:val="right"/>
            </w:pPr>
            <w:r>
              <w:rPr>
                <w:b w:val="0"/>
                <w:i w:val="0"/>
                <w:strike w:val="0"/>
                <w:u w:val="none"/>
              </w:rPr>
              <w:t>20,463,698.63</w:t>
            </w:r>
          </w:p>
        </w:tc>
        <w:tc>
          <w:tcPr>
            <w:tcW w:w="2431" w:type="dxa"/>
            <w:shd w:val="clear" w:color="auto" w:fill="auto"/>
            <w:vAlign w:val="center"/>
          </w:tcPr>
          <w:p>
            <w:pPr>
              <w:ind w:hanging="1"/>
              <w:jc w:val="right"/>
            </w:pPr>
            <w:r>
              <w:rPr>
                <w:rFonts w:hint="eastAsia"/>
                <w:b w:val="0"/>
                <w:i w:val="0"/>
                <w:strike w:val="0"/>
                <w:u w:val="none"/>
              </w:rPr>
              <w:t>3.35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22眉山发展PPN001</w:t>
            </w:r>
          </w:p>
        </w:tc>
        <w:tc>
          <w:tcPr>
            <w:tcW w:w="2693" w:type="dxa"/>
            <w:shd w:val="clear" w:color="auto" w:fill="auto"/>
            <w:vAlign w:val="center"/>
          </w:tcPr>
          <w:p>
            <w:pPr>
              <w:ind w:hanging="1"/>
              <w:jc w:val="right"/>
            </w:pPr>
            <w:r>
              <w:rPr>
                <w:b w:val="0"/>
                <w:i w:val="0"/>
                <w:strike w:val="0"/>
                <w:u w:val="none"/>
              </w:rPr>
              <w:t>20,449,479.45</w:t>
            </w:r>
          </w:p>
        </w:tc>
        <w:tc>
          <w:tcPr>
            <w:tcW w:w="2431" w:type="dxa"/>
            <w:shd w:val="clear" w:color="auto" w:fill="auto"/>
            <w:vAlign w:val="center"/>
          </w:tcPr>
          <w:p>
            <w:pPr>
              <w:ind w:hanging="1"/>
              <w:jc w:val="right"/>
            </w:pPr>
            <w:r>
              <w:rPr>
                <w:rFonts w:hint="eastAsia"/>
                <w:b w:val="0"/>
                <w:i w:val="0"/>
                <w:strike w:val="0"/>
                <w:u w:val="none"/>
              </w:rPr>
              <w:t>3.35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25泸发01</w:t>
            </w:r>
          </w:p>
        </w:tc>
        <w:tc>
          <w:tcPr>
            <w:tcW w:w="2693" w:type="dxa"/>
            <w:shd w:val="clear" w:color="auto" w:fill="auto"/>
            <w:vAlign w:val="center"/>
          </w:tcPr>
          <w:p>
            <w:pPr>
              <w:ind w:hanging="1"/>
              <w:jc w:val="right"/>
            </w:pPr>
            <w:r>
              <w:rPr>
                <w:b w:val="0"/>
                <w:i w:val="0"/>
                <w:strike w:val="0"/>
                <w:u w:val="none"/>
              </w:rPr>
              <w:t>20,075,135.16</w:t>
            </w:r>
          </w:p>
        </w:tc>
        <w:tc>
          <w:tcPr>
            <w:tcW w:w="2431" w:type="dxa"/>
            <w:shd w:val="clear" w:color="auto" w:fill="auto"/>
            <w:vAlign w:val="center"/>
          </w:tcPr>
          <w:p>
            <w:pPr>
              <w:ind w:hanging="1"/>
              <w:jc w:val="right"/>
            </w:pPr>
            <w:r>
              <w:rPr>
                <w:rFonts w:hint="eastAsia"/>
                <w:b w:val="0"/>
                <w:i w:val="0"/>
                <w:strike w:val="0"/>
                <w:u w:val="none"/>
              </w:rPr>
              <w:t>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25眉资03</w:t>
            </w:r>
          </w:p>
        </w:tc>
        <w:tc>
          <w:tcPr>
            <w:tcW w:w="2693" w:type="dxa"/>
            <w:shd w:val="clear" w:color="auto" w:fill="auto"/>
            <w:vAlign w:val="center"/>
          </w:tcPr>
          <w:p>
            <w:pPr>
              <w:ind w:hanging="1"/>
              <w:jc w:val="right"/>
            </w:pPr>
            <w:r>
              <w:rPr>
                <w:b w:val="0"/>
                <w:i w:val="0"/>
                <w:strike w:val="0"/>
                <w:u w:val="none"/>
              </w:rPr>
              <w:t>19,991,534.25</w:t>
            </w:r>
          </w:p>
        </w:tc>
        <w:tc>
          <w:tcPr>
            <w:tcW w:w="2431" w:type="dxa"/>
            <w:shd w:val="clear" w:color="auto" w:fill="auto"/>
            <w:vAlign w:val="center"/>
          </w:tcPr>
          <w:p>
            <w:pPr>
              <w:ind w:hanging="1"/>
              <w:jc w:val="right"/>
            </w:pPr>
            <w:r>
              <w:rPr>
                <w:rFonts w:hint="eastAsia"/>
                <w:b w:val="0"/>
                <w:i w:val="0"/>
                <w:strike w:val="0"/>
                <w:u w:val="none"/>
              </w:rPr>
              <w:t>3.28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25绵控03</w:t>
            </w:r>
          </w:p>
        </w:tc>
        <w:tc>
          <w:tcPr>
            <w:tcW w:w="2693" w:type="dxa"/>
            <w:shd w:val="clear" w:color="auto" w:fill="auto"/>
            <w:vAlign w:val="center"/>
          </w:tcPr>
          <w:p>
            <w:pPr>
              <w:ind w:hanging="1"/>
              <w:jc w:val="right"/>
            </w:pPr>
            <w:r>
              <w:rPr>
                <w:b w:val="0"/>
                <w:i w:val="0"/>
                <w:strike w:val="0"/>
                <w:u w:val="none"/>
              </w:rPr>
              <w:t>19,984,602.74</w:t>
            </w:r>
          </w:p>
        </w:tc>
        <w:tc>
          <w:tcPr>
            <w:tcW w:w="2431" w:type="dxa"/>
            <w:shd w:val="clear" w:color="auto" w:fill="auto"/>
            <w:vAlign w:val="center"/>
          </w:tcPr>
          <w:p>
            <w:pPr>
              <w:ind w:hanging="1"/>
              <w:jc w:val="right"/>
            </w:pPr>
            <w:r>
              <w:rPr>
                <w:rFonts w:hint="eastAsia"/>
                <w:b w:val="0"/>
                <w:i w:val="0"/>
                <w:strike w:val="0"/>
                <w:u w:val="none"/>
              </w:rPr>
              <w:t>3.27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24日照银行CD147</w:t>
            </w:r>
          </w:p>
        </w:tc>
        <w:tc>
          <w:tcPr>
            <w:tcW w:w="2693" w:type="dxa"/>
            <w:shd w:val="clear" w:color="auto" w:fill="auto"/>
            <w:vAlign w:val="center"/>
          </w:tcPr>
          <w:p>
            <w:pPr>
              <w:ind w:hanging="1"/>
              <w:jc w:val="right"/>
            </w:pPr>
            <w:r>
              <w:rPr>
                <w:b w:val="0"/>
                <w:i w:val="0"/>
                <w:strike w:val="0"/>
                <w:u w:val="none"/>
              </w:rPr>
              <w:t>19,950,247.23</w:t>
            </w:r>
          </w:p>
        </w:tc>
        <w:tc>
          <w:tcPr>
            <w:tcW w:w="2431" w:type="dxa"/>
            <w:shd w:val="clear" w:color="auto" w:fill="auto"/>
            <w:vAlign w:val="center"/>
          </w:tcPr>
          <w:p>
            <w:pPr>
              <w:ind w:hanging="1"/>
              <w:jc w:val="right"/>
            </w:pPr>
            <w:r>
              <w:rPr>
                <w:rFonts w:hint="eastAsia"/>
                <w:b w:val="0"/>
                <w:i w:val="0"/>
                <w:strike w:val="0"/>
                <w:u w:val="none"/>
              </w:rPr>
              <w:t>3.27</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2025-10-15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06BC1694"/>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2025-10-16T06:56:01Z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7A2E89EFFA8144BE8CB1D944699F181A</vt:lpwstr>
  </property>
</Properties>
</file>