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四川银行定开系列6个月1号净值型理财产品</w:t>
      </w:r>
    </w:p>
    <w:p>
      <w:pPr>
        <w:jc w:val="center"/>
        <w:rPr>
          <w:rFonts w:ascii="宋体" w:hAnsi="宋体"/>
          <w:b/>
          <w:bCs/>
          <w:sz w:val="48"/>
          <w:szCs w:val="30"/>
        </w:rPr>
      </w:pPr>
      <w:r>
        <w:rPr>
          <w:rFonts w:ascii="宋体" w:hAnsi="宋体"/>
          <w:b/>
          <w:bCs/>
          <w:sz w:val="48"/>
          <w:szCs w:val="30"/>
        </w:rPr>
        <w:t>2025年第3季度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自2025-07-01起至2025-09-30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2021-11-16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607,499,000.00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128912158810602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2025-07-01</w:t>
            </w:r>
            <w:r>
              <w:rPr>
                <w:rFonts w:hint="eastAsia" w:ascii="宋体" w:hAnsi="宋体"/>
              </w:rPr>
              <w:t>至</w:t>
            </w:r>
            <w:r>
              <w:rPr>
                <w:rFonts w:ascii="宋体" w:hAnsi="宋体"/>
              </w:rPr>
              <w:t>2025-09-30</w:t>
            </w:r>
            <w:r>
              <w:rPr>
                <w:rFonts w:hint="eastAsia" w:ascii="宋体" w:hAnsi="宋体"/>
              </w:rPr>
              <w:t>）</w:t>
            </w:r>
          </w:p>
        </w:tc>
        <w:tc>
          <w:tcPr>
            <w:tcW w:w="5103" w:type="dxa"/>
            <w:vAlign w:val="center"/>
          </w:tcPr>
          <w:p>
            <w:pPr>
              <w:jc w:val="right"/>
            </w:pPr>
            <w:r>
              <w:t>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13.41</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2025-07-01</w:t>
            </w:r>
            <w:r>
              <w:rPr>
                <w:rFonts w:hint="eastAsia"/>
                <w:b/>
              </w:rPr>
              <w:t xml:space="preserve">至 </w:t>
            </w:r>
            <w:r>
              <w:rPr>
                <w:b/>
              </w:rPr>
              <w:t>2025-09-30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6,535,275.13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3,445,268.30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612,666,902.45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1.1341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612,666,902.45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1.1341</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494,530,665.95</w:t>
            </w:r>
          </w:p>
        </w:tc>
        <w:tc>
          <w:tcPr>
            <w:tcW w:w="1749" w:type="dxa"/>
            <w:shd w:val="clear" w:color="auto" w:fill="auto"/>
            <w:vAlign w:val="center"/>
          </w:tcPr>
          <w:p>
            <w:pPr>
              <w:jc w:val="right"/>
            </w:pPr>
            <w:r>
              <w:t>80.42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494,530,665.95</w:t>
            </w:r>
          </w:p>
        </w:tc>
        <w:tc>
          <w:tcPr>
            <w:tcW w:w="1749" w:type="dxa"/>
            <w:shd w:val="clear" w:color="auto" w:fill="auto"/>
            <w:vAlign w:val="center"/>
          </w:tcPr>
          <w:p>
            <w:pPr>
              <w:jc w:val="right"/>
            </w:pPr>
            <w:r>
              <w:t>80.42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60,002,754.58</w:t>
            </w:r>
          </w:p>
        </w:tc>
        <w:tc>
          <w:tcPr>
            <w:tcW w:w="1749" w:type="dxa"/>
            <w:shd w:val="clear" w:color="auto" w:fill="auto"/>
            <w:vAlign w:val="center"/>
          </w:tcPr>
          <w:p>
            <w:pPr>
              <w:jc w:val="right"/>
            </w:pPr>
            <w:r>
              <w:t>9.76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60,395,534.64</w:t>
            </w:r>
          </w:p>
        </w:tc>
        <w:tc>
          <w:tcPr>
            <w:tcW w:w="1749" w:type="dxa"/>
            <w:shd w:val="clear" w:color="auto" w:fill="auto"/>
            <w:vAlign w:val="center"/>
          </w:tcPr>
          <w:p>
            <w:pPr>
              <w:jc w:val="right"/>
            </w:pPr>
            <w:r>
              <w:t>9.82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22,678.18</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614,951,633.35</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GC014</w:t>
            </w:r>
          </w:p>
        </w:tc>
        <w:tc>
          <w:tcPr>
            <w:tcW w:w="2693" w:type="dxa"/>
            <w:shd w:val="clear" w:color="auto" w:fill="auto"/>
            <w:vAlign w:val="center"/>
          </w:tcPr>
          <w:p>
            <w:pPr>
              <w:jc w:val="right"/>
            </w:pPr>
            <w:r>
              <w:t>60,002,754.58</w:t>
            </w:r>
          </w:p>
        </w:tc>
        <w:tc>
          <w:tcPr>
            <w:tcW w:w="2431" w:type="dxa"/>
            <w:shd w:val="clear" w:color="auto" w:fill="auto"/>
            <w:vAlign w:val="center"/>
          </w:tcPr>
          <w:p>
            <w:pPr>
              <w:jc w:val="right"/>
            </w:pPr>
            <w:bookmarkStart w:id="3" w:name="OLE_LINK5"/>
            <w:bookmarkEnd w:id="3"/>
            <w:bookmarkStart w:id="4" w:name="OLE_LINK6"/>
            <w:bookmarkEnd w:id="4"/>
            <w:r>
              <w:rPr>
                <w:rFonts w:hint="eastAsia"/>
              </w:rPr>
              <w:t>9.79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24西汇投资PPN001</w:t>
            </w:r>
          </w:p>
        </w:tc>
        <w:tc>
          <w:tcPr>
            <w:tcW w:w="2693" w:type="dxa"/>
            <w:shd w:val="clear" w:color="auto" w:fill="auto"/>
            <w:vAlign w:val="center"/>
          </w:tcPr>
          <w:p>
            <w:pPr>
              <w:ind w:hanging="1"/>
              <w:jc w:val="right"/>
            </w:pPr>
            <w:r>
              <w:rPr>
                <w:b w:val="0"/>
                <w:i w:val="0"/>
                <w:strike w:val="0"/>
                <w:u w:val="none"/>
              </w:rPr>
              <w:t>35,423,250.68</w:t>
            </w:r>
          </w:p>
        </w:tc>
        <w:tc>
          <w:tcPr>
            <w:tcW w:w="2431" w:type="dxa"/>
            <w:shd w:val="clear" w:color="auto" w:fill="auto"/>
            <w:vAlign w:val="center"/>
          </w:tcPr>
          <w:p>
            <w:pPr>
              <w:ind w:hanging="1"/>
              <w:jc w:val="right"/>
            </w:pPr>
            <w:r>
              <w:rPr>
                <w:rFonts w:hint="eastAsia"/>
                <w:b w:val="0"/>
                <w:i w:val="0"/>
                <w:strike w:val="0"/>
                <w:u w:val="none"/>
              </w:rPr>
              <w:t>5.78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24成都开投PPN002</w:t>
            </w:r>
          </w:p>
        </w:tc>
        <w:tc>
          <w:tcPr>
            <w:tcW w:w="2693" w:type="dxa"/>
            <w:shd w:val="clear" w:color="auto" w:fill="auto"/>
            <w:vAlign w:val="center"/>
          </w:tcPr>
          <w:p>
            <w:pPr>
              <w:ind w:hanging="1"/>
              <w:jc w:val="right"/>
            </w:pPr>
            <w:r>
              <w:rPr>
                <w:b w:val="0"/>
                <w:i w:val="0"/>
                <w:strike w:val="0"/>
                <w:u w:val="none"/>
              </w:rPr>
              <w:t>30,871,150.68</w:t>
            </w:r>
          </w:p>
        </w:tc>
        <w:tc>
          <w:tcPr>
            <w:tcW w:w="2431" w:type="dxa"/>
            <w:shd w:val="clear" w:color="auto" w:fill="auto"/>
            <w:vAlign w:val="center"/>
          </w:tcPr>
          <w:p>
            <w:pPr>
              <w:ind w:hanging="1"/>
              <w:jc w:val="right"/>
            </w:pPr>
            <w:r>
              <w:rPr>
                <w:rFonts w:hint="eastAsia"/>
                <w:b w:val="0"/>
                <w:i w:val="0"/>
                <w:strike w:val="0"/>
                <w:u w:val="none"/>
              </w:rPr>
              <w:t>5.04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24兴锦农业PPN001A</w:t>
            </w:r>
          </w:p>
        </w:tc>
        <w:tc>
          <w:tcPr>
            <w:tcW w:w="2693" w:type="dxa"/>
            <w:shd w:val="clear" w:color="auto" w:fill="auto"/>
            <w:vAlign w:val="center"/>
          </w:tcPr>
          <w:p>
            <w:pPr>
              <w:ind w:hanging="1"/>
              <w:jc w:val="right"/>
            </w:pPr>
            <w:r>
              <w:rPr>
                <w:b w:val="0"/>
                <w:i w:val="0"/>
                <w:strike w:val="0"/>
                <w:u w:val="none"/>
              </w:rPr>
              <w:t>30,695,547.95</w:t>
            </w:r>
          </w:p>
        </w:tc>
        <w:tc>
          <w:tcPr>
            <w:tcW w:w="2431" w:type="dxa"/>
            <w:shd w:val="clear" w:color="auto" w:fill="auto"/>
            <w:vAlign w:val="center"/>
          </w:tcPr>
          <w:p>
            <w:pPr>
              <w:ind w:hanging="1"/>
              <w:jc w:val="right"/>
            </w:pPr>
            <w:r>
              <w:rPr>
                <w:rFonts w:hint="eastAsia"/>
                <w:b w:val="0"/>
                <w:i w:val="0"/>
                <w:strike w:val="0"/>
                <w:u w:val="none"/>
              </w:rPr>
              <w:t>5.01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24乐高01</w:t>
            </w:r>
          </w:p>
        </w:tc>
        <w:tc>
          <w:tcPr>
            <w:tcW w:w="2693" w:type="dxa"/>
            <w:shd w:val="clear" w:color="auto" w:fill="auto"/>
            <w:vAlign w:val="center"/>
          </w:tcPr>
          <w:p>
            <w:pPr>
              <w:ind w:hanging="1"/>
              <w:jc w:val="right"/>
            </w:pPr>
            <w:r>
              <w:rPr>
                <w:b w:val="0"/>
                <w:i w:val="0"/>
                <w:strike w:val="0"/>
                <w:u w:val="none"/>
              </w:rPr>
              <w:t>24,831,912.33</w:t>
            </w:r>
          </w:p>
        </w:tc>
        <w:tc>
          <w:tcPr>
            <w:tcW w:w="2431" w:type="dxa"/>
            <w:shd w:val="clear" w:color="auto" w:fill="auto"/>
            <w:vAlign w:val="center"/>
          </w:tcPr>
          <w:p>
            <w:pPr>
              <w:ind w:hanging="1"/>
              <w:jc w:val="right"/>
            </w:pPr>
            <w:r>
              <w:rPr>
                <w:rFonts w:hint="eastAsia"/>
                <w:b w:val="0"/>
                <w:i w:val="0"/>
                <w:strike w:val="0"/>
                <w:u w:val="none"/>
              </w:rPr>
              <w:t>4.05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24兴旅01</w:t>
            </w:r>
          </w:p>
        </w:tc>
        <w:tc>
          <w:tcPr>
            <w:tcW w:w="2693" w:type="dxa"/>
            <w:shd w:val="clear" w:color="auto" w:fill="auto"/>
            <w:vAlign w:val="center"/>
          </w:tcPr>
          <w:p>
            <w:pPr>
              <w:ind w:hanging="1"/>
              <w:jc w:val="right"/>
            </w:pPr>
            <w:r>
              <w:rPr>
                <w:b w:val="0"/>
                <w:i w:val="0"/>
                <w:strike w:val="0"/>
                <w:u w:val="none"/>
              </w:rPr>
              <w:t>21,268,630.14</w:t>
            </w:r>
          </w:p>
        </w:tc>
        <w:tc>
          <w:tcPr>
            <w:tcW w:w="2431" w:type="dxa"/>
            <w:shd w:val="clear" w:color="auto" w:fill="auto"/>
            <w:vAlign w:val="center"/>
          </w:tcPr>
          <w:p>
            <w:pPr>
              <w:ind w:hanging="1"/>
              <w:jc w:val="right"/>
            </w:pPr>
            <w:r>
              <w:rPr>
                <w:rFonts w:hint="eastAsia"/>
                <w:b w:val="0"/>
                <w:i w:val="0"/>
                <w:strike w:val="0"/>
                <w:u w:val="none"/>
              </w:rPr>
              <w:t>3.47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24泸州产业PPN001</w:t>
            </w:r>
          </w:p>
        </w:tc>
        <w:tc>
          <w:tcPr>
            <w:tcW w:w="2693" w:type="dxa"/>
            <w:shd w:val="clear" w:color="auto" w:fill="auto"/>
            <w:vAlign w:val="center"/>
          </w:tcPr>
          <w:p>
            <w:pPr>
              <w:ind w:hanging="1"/>
              <w:jc w:val="right"/>
            </w:pPr>
            <w:r>
              <w:rPr>
                <w:b w:val="0"/>
                <w:i w:val="0"/>
                <w:strike w:val="0"/>
                <w:u w:val="none"/>
              </w:rPr>
              <w:t>20,842,712.33</w:t>
            </w:r>
          </w:p>
        </w:tc>
        <w:tc>
          <w:tcPr>
            <w:tcW w:w="2431" w:type="dxa"/>
            <w:shd w:val="clear" w:color="auto" w:fill="auto"/>
            <w:vAlign w:val="center"/>
          </w:tcPr>
          <w:p>
            <w:pPr>
              <w:ind w:hanging="1"/>
              <w:jc w:val="right"/>
            </w:pPr>
            <w:r>
              <w:rPr>
                <w:rFonts w:hint="eastAsia"/>
                <w:b w:val="0"/>
                <w:i w:val="0"/>
                <w:strike w:val="0"/>
                <w:u w:val="none"/>
              </w:rPr>
              <w:t>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pPr>
              <w:ind w:hanging="1"/>
              <w:jc w:val="right"/>
            </w:pPr>
            <w:r>
              <w:rPr>
                <w:b w:val="0"/>
                <w:i w:val="0"/>
                <w:strike w:val="0"/>
                <w:u w:val="none"/>
              </w:rPr>
              <w:t>20,483,178.08</w:t>
            </w:r>
          </w:p>
        </w:tc>
        <w:tc>
          <w:tcPr>
            <w:tcW w:w="2431" w:type="dxa"/>
            <w:shd w:val="clear" w:color="auto" w:fill="auto"/>
            <w:vAlign w:val="center"/>
          </w:tcPr>
          <w:p>
            <w:pPr>
              <w:ind w:hanging="1"/>
              <w:jc w:val="right"/>
            </w:pPr>
            <w:r>
              <w:rPr>
                <w:rFonts w:hint="eastAsia"/>
                <w:b w:val="0"/>
                <w:i w:val="0"/>
                <w:strike w:val="0"/>
                <w:u w:val="none"/>
              </w:rPr>
              <w:t>3.34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22眉山发展PPN001</w:t>
            </w:r>
          </w:p>
        </w:tc>
        <w:tc>
          <w:tcPr>
            <w:tcW w:w="2693" w:type="dxa"/>
            <w:shd w:val="clear" w:color="auto" w:fill="auto"/>
            <w:vAlign w:val="center"/>
          </w:tcPr>
          <w:p>
            <w:pPr>
              <w:ind w:hanging="1"/>
              <w:jc w:val="right"/>
            </w:pPr>
            <w:r>
              <w:rPr>
                <w:b w:val="0"/>
                <w:i w:val="0"/>
                <w:strike w:val="0"/>
                <w:u w:val="none"/>
              </w:rPr>
              <w:t>20,449,479.45</w:t>
            </w:r>
          </w:p>
        </w:tc>
        <w:tc>
          <w:tcPr>
            <w:tcW w:w="2431" w:type="dxa"/>
            <w:shd w:val="clear" w:color="auto" w:fill="auto"/>
            <w:vAlign w:val="center"/>
          </w:tcPr>
          <w:p>
            <w:pPr>
              <w:ind w:hanging="1"/>
              <w:jc w:val="right"/>
            </w:pPr>
            <w:r>
              <w:rPr>
                <w:rFonts w:hint="eastAsia"/>
                <w:b w:val="0"/>
                <w:i w:val="0"/>
                <w:strike w:val="0"/>
                <w:u w:val="none"/>
              </w:rPr>
              <w:t>3.34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24新津城乡PPN001B</w:t>
            </w:r>
          </w:p>
        </w:tc>
        <w:tc>
          <w:tcPr>
            <w:tcW w:w="2693" w:type="dxa"/>
            <w:shd w:val="clear" w:color="auto" w:fill="auto"/>
            <w:vAlign w:val="center"/>
          </w:tcPr>
          <w:p>
            <w:pPr>
              <w:ind w:hanging="1"/>
              <w:jc w:val="right"/>
            </w:pPr>
            <w:r>
              <w:rPr>
                <w:b w:val="0"/>
                <w:i w:val="0"/>
                <w:strike w:val="0"/>
                <w:u w:val="none"/>
              </w:rPr>
              <w:t>20,224,021.92</w:t>
            </w:r>
          </w:p>
        </w:tc>
        <w:tc>
          <w:tcPr>
            <w:tcW w:w="2431" w:type="dxa"/>
            <w:shd w:val="clear" w:color="auto" w:fill="auto"/>
            <w:vAlign w:val="center"/>
          </w:tcPr>
          <w:p>
            <w:pPr>
              <w:ind w:hanging="1"/>
              <w:jc w:val="right"/>
            </w:pPr>
            <w:r>
              <w:rPr>
                <w:rFonts w:hint="eastAsia"/>
                <w:b w:val="0"/>
                <w:i w:val="0"/>
                <w:strike w:val="0"/>
                <w:u w:val="none"/>
              </w:rPr>
              <w:t>3.30</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1FE76CCA"/>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2025-10-16T06:55:10Z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47D20B1F56314C1A91967720E5F9A97B</vt:lpwstr>
  </property>
</Properties>
</file>