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四川银行定开系列6个月13号净值型理财产品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269,821,000.00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11.73</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3,443,343.77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1,727,314.52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270,070,492.02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270,070,492.02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1.1173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241,266,453.17</w:t>
            </w:r>
          </w:p>
        </w:tc>
        <w:tc>
          <w:tcPr>
            <w:tcW w:w="1749" w:type="dxa"/>
            <w:shd w:val="clear" w:color="auto" w:fill="auto"/>
            <w:vAlign w:val="center"/>
          </w:tcPr>
          <w:p>
            <w:pPr>
              <w:jc w:val="right"/>
            </w:pPr>
            <w:r>
              <w:t>88.92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241,266,453.17</w:t>
            </w:r>
          </w:p>
        </w:tc>
        <w:tc>
          <w:tcPr>
            <w:tcW w:w="1749" w:type="dxa"/>
            <w:shd w:val="clear" w:color="auto" w:fill="auto"/>
            <w:vAlign w:val="center"/>
          </w:tcPr>
          <w:p>
            <w:pPr>
              <w:jc w:val="right"/>
            </w:pPr>
            <w:r>
              <w:t>88.92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29,001,331.38</w:t>
            </w:r>
          </w:p>
        </w:tc>
        <w:tc>
          <w:tcPr>
            <w:tcW w:w="1749" w:type="dxa"/>
            <w:shd w:val="clear" w:color="auto" w:fill="auto"/>
            <w:vAlign w:val="center"/>
          </w:tcPr>
          <w:p>
            <w:pPr>
              <w:jc w:val="right"/>
            </w:pPr>
            <w:r>
              <w:t>10.69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964,714.30</w:t>
            </w:r>
          </w:p>
        </w:tc>
        <w:tc>
          <w:tcPr>
            <w:tcW w:w="1749" w:type="dxa"/>
            <w:shd w:val="clear" w:color="auto" w:fill="auto"/>
            <w:vAlign w:val="center"/>
          </w:tcPr>
          <w:p>
            <w:pPr>
              <w:jc w:val="right"/>
            </w:pPr>
            <w:r>
              <w:t>0.36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100,458.85</w:t>
            </w:r>
          </w:p>
        </w:tc>
        <w:tc>
          <w:tcPr>
            <w:tcW w:w="1749" w:type="dxa"/>
            <w:shd w:val="clear" w:color="auto" w:fill="auto"/>
            <w:vAlign w:val="center"/>
          </w:tcPr>
          <w:p>
            <w:pPr>
              <w:jc w:val="right"/>
            </w:pPr>
            <w:r>
              <w:t>0.04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271,332,957.70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pPr>
              <w:jc w:val="right"/>
            </w:pPr>
            <w:r>
              <w:t>29,001,331.38</w:t>
            </w:r>
          </w:p>
        </w:tc>
        <w:tc>
          <w:tcPr>
            <w:tcW w:w="2431" w:type="dxa"/>
            <w:shd w:val="clear" w:color="auto" w:fill="auto"/>
            <w:vAlign w:val="center"/>
          </w:tcPr>
          <w:p>
            <w:pPr>
              <w:jc w:val="right"/>
            </w:pPr>
            <w:bookmarkStart w:id="3" w:name="OLE_LINK6"/>
            <w:bookmarkEnd w:id="3"/>
            <w:bookmarkStart w:id="4" w:name="OLE_LINK5"/>
            <w:bookmarkEnd w:id="4"/>
            <w:r>
              <w:rPr>
                <w:rFonts w:hint="eastAsia"/>
              </w:rPr>
              <w:t>10.74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22眉控01</w:t>
            </w:r>
          </w:p>
        </w:tc>
        <w:tc>
          <w:tcPr>
            <w:tcW w:w="2693" w:type="dxa"/>
            <w:shd w:val="clear" w:color="auto" w:fill="auto"/>
            <w:vAlign w:val="center"/>
          </w:tcPr>
          <w:p>
            <w:pPr>
              <w:ind w:hanging="1"/>
              <w:jc w:val="right"/>
            </w:pPr>
            <w:r>
              <w:rPr>
                <w:b w:val="0"/>
                <w:i w:val="0"/>
                <w:strike w:val="0"/>
                <w:u w:val="none"/>
              </w:rPr>
              <w:t>20,951,506.85</w:t>
            </w:r>
          </w:p>
        </w:tc>
        <w:tc>
          <w:tcPr>
            <w:tcW w:w="2431" w:type="dxa"/>
            <w:shd w:val="clear" w:color="auto" w:fill="auto"/>
            <w:vAlign w:val="center"/>
          </w:tcPr>
          <w:p>
            <w:pPr>
              <w:ind w:hanging="1"/>
              <w:jc w:val="right"/>
            </w:pPr>
            <w:r>
              <w:rPr>
                <w:rFonts w:hint="eastAsia"/>
                <w:b w:val="0"/>
                <w:i w:val="0"/>
                <w:strike w:val="0"/>
                <w:u w:val="none"/>
              </w:rPr>
              <w:t>7.76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25贵州银行CD092</w:t>
            </w:r>
          </w:p>
        </w:tc>
        <w:tc>
          <w:tcPr>
            <w:tcW w:w="2693" w:type="dxa"/>
            <w:shd w:val="clear" w:color="auto" w:fill="auto"/>
            <w:vAlign w:val="center"/>
          </w:tcPr>
          <w:p>
            <w:pPr>
              <w:ind w:hanging="1"/>
              <w:jc w:val="right"/>
            </w:pPr>
            <w:r>
              <w:rPr>
                <w:b w:val="0"/>
                <w:i w:val="0"/>
                <w:strike w:val="0"/>
                <w:u w:val="none"/>
              </w:rPr>
              <w:t>19,668,044.77</w:t>
            </w:r>
          </w:p>
        </w:tc>
        <w:tc>
          <w:tcPr>
            <w:tcW w:w="2431" w:type="dxa"/>
            <w:shd w:val="clear" w:color="auto" w:fill="auto"/>
            <w:vAlign w:val="center"/>
          </w:tcPr>
          <w:p>
            <w:pPr>
              <w:ind w:hanging="1"/>
              <w:jc w:val="right"/>
            </w:pPr>
            <w:r>
              <w:rPr>
                <w:rFonts w:hint="eastAsia"/>
                <w:b w:val="0"/>
                <w:i w:val="0"/>
                <w:strike w:val="0"/>
                <w:u w:val="none"/>
              </w:rPr>
              <w:t>7.28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pPr>
              <w:ind w:hanging="1"/>
              <w:jc w:val="right"/>
            </w:pPr>
            <w:r>
              <w:rPr>
                <w:b w:val="0"/>
                <w:i w:val="0"/>
                <w:strike w:val="0"/>
                <w:u w:val="none"/>
              </w:rPr>
              <w:t>15,638,219.18</w:t>
            </w:r>
          </w:p>
        </w:tc>
        <w:tc>
          <w:tcPr>
            <w:tcW w:w="2431" w:type="dxa"/>
            <w:shd w:val="clear" w:color="auto" w:fill="auto"/>
            <w:vAlign w:val="center"/>
          </w:tcPr>
          <w:p>
            <w:pPr>
              <w:ind w:hanging="1"/>
              <w:jc w:val="right"/>
            </w:pPr>
            <w:r>
              <w:rPr>
                <w:rFonts w:hint="eastAsia"/>
                <w:b w:val="0"/>
                <w:i w:val="0"/>
                <w:strike w:val="0"/>
                <w:u w:val="none"/>
              </w:rPr>
              <w:t>5.79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24泸临01</w:t>
            </w:r>
          </w:p>
        </w:tc>
        <w:tc>
          <w:tcPr>
            <w:tcW w:w="2693" w:type="dxa"/>
            <w:shd w:val="clear" w:color="auto" w:fill="auto"/>
            <w:vAlign w:val="center"/>
          </w:tcPr>
          <w:p>
            <w:pPr>
              <w:ind w:hanging="1"/>
              <w:jc w:val="right"/>
            </w:pPr>
            <w:r>
              <w:rPr>
                <w:b w:val="0"/>
                <w:i w:val="0"/>
                <w:strike w:val="0"/>
                <w:u w:val="none"/>
              </w:rPr>
              <w:t>15,129,591.78</w:t>
            </w:r>
          </w:p>
        </w:tc>
        <w:tc>
          <w:tcPr>
            <w:tcW w:w="2431" w:type="dxa"/>
            <w:shd w:val="clear" w:color="auto" w:fill="auto"/>
            <w:vAlign w:val="center"/>
          </w:tcPr>
          <w:p>
            <w:pPr>
              <w:ind w:hanging="1"/>
              <w:jc w:val="right"/>
            </w:pPr>
            <w:r>
              <w:rPr>
                <w:rFonts w:hint="eastAsia"/>
                <w:b w:val="0"/>
                <w:i w:val="0"/>
                <w:strike w:val="0"/>
                <w:u w:val="none"/>
              </w:rPr>
              <w:t>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25富滇银行CD107</w:t>
            </w:r>
          </w:p>
        </w:tc>
        <w:tc>
          <w:tcPr>
            <w:tcW w:w="2693" w:type="dxa"/>
            <w:shd w:val="clear" w:color="auto" w:fill="auto"/>
            <w:vAlign w:val="center"/>
          </w:tcPr>
          <w:p>
            <w:pPr>
              <w:ind w:hanging="1"/>
              <w:jc w:val="right"/>
            </w:pPr>
            <w:r>
              <w:rPr>
                <w:b w:val="0"/>
                <w:i w:val="0"/>
                <w:strike w:val="0"/>
                <w:u w:val="none"/>
              </w:rPr>
              <w:t>12,813,837.86</w:t>
            </w:r>
          </w:p>
        </w:tc>
        <w:tc>
          <w:tcPr>
            <w:tcW w:w="2431" w:type="dxa"/>
            <w:shd w:val="clear" w:color="auto" w:fill="auto"/>
            <w:vAlign w:val="center"/>
          </w:tcPr>
          <w:p>
            <w:pPr>
              <w:ind w:hanging="1"/>
              <w:jc w:val="right"/>
            </w:pPr>
            <w:r>
              <w:rPr>
                <w:rFonts w:hint="eastAsia"/>
                <w:b w:val="0"/>
                <w:i w:val="0"/>
                <w:strike w:val="0"/>
                <w:u w:val="none"/>
              </w:rPr>
              <w:t>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24达发01</w:t>
            </w:r>
          </w:p>
        </w:tc>
        <w:tc>
          <w:tcPr>
            <w:tcW w:w="2693" w:type="dxa"/>
            <w:shd w:val="clear" w:color="auto" w:fill="auto"/>
            <w:vAlign w:val="center"/>
          </w:tcPr>
          <w:p>
            <w:pPr>
              <w:ind w:hanging="1"/>
              <w:jc w:val="right"/>
            </w:pPr>
            <w:r>
              <w:rPr>
                <w:b w:val="0"/>
                <w:i w:val="0"/>
                <w:strike w:val="0"/>
                <w:u w:val="none"/>
              </w:rPr>
              <w:t>12,549,389.59</w:t>
            </w:r>
          </w:p>
        </w:tc>
        <w:tc>
          <w:tcPr>
            <w:tcW w:w="2431" w:type="dxa"/>
            <w:shd w:val="clear" w:color="auto" w:fill="auto"/>
            <w:vAlign w:val="center"/>
          </w:tcPr>
          <w:p>
            <w:pPr>
              <w:ind w:hanging="1"/>
              <w:jc w:val="right"/>
            </w:pPr>
            <w:r>
              <w:rPr>
                <w:rFonts w:hint="eastAsia"/>
                <w:b w:val="0"/>
                <w:i w:val="0"/>
                <w:strike w:val="0"/>
                <w:u w:val="none"/>
              </w:rPr>
              <w:t>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25乌鲁木齐银行CD128</w:t>
            </w:r>
          </w:p>
        </w:tc>
        <w:tc>
          <w:tcPr>
            <w:tcW w:w="2693" w:type="dxa"/>
            <w:shd w:val="clear" w:color="auto" w:fill="auto"/>
            <w:vAlign w:val="center"/>
          </w:tcPr>
          <w:p>
            <w:pPr>
              <w:ind w:hanging="1"/>
              <w:jc w:val="right"/>
            </w:pPr>
            <w:r>
              <w:rPr>
                <w:b w:val="0"/>
                <w:i w:val="0"/>
                <w:strike w:val="0"/>
                <w:u w:val="none"/>
              </w:rPr>
              <w:t>11,855,486.59</w:t>
            </w:r>
          </w:p>
        </w:tc>
        <w:tc>
          <w:tcPr>
            <w:tcW w:w="2431" w:type="dxa"/>
            <w:shd w:val="clear" w:color="auto" w:fill="auto"/>
            <w:vAlign w:val="center"/>
          </w:tcPr>
          <w:p>
            <w:pPr>
              <w:ind w:hanging="1"/>
              <w:jc w:val="right"/>
            </w:pPr>
            <w:r>
              <w:rPr>
                <w:rFonts w:hint="eastAsia"/>
                <w:b w:val="0"/>
                <w:i w:val="0"/>
                <w:strike w:val="0"/>
                <w:u w:val="none"/>
              </w:rP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21攀国投</w:t>
            </w:r>
          </w:p>
        </w:tc>
        <w:tc>
          <w:tcPr>
            <w:tcW w:w="2693" w:type="dxa"/>
            <w:shd w:val="clear" w:color="auto" w:fill="auto"/>
            <w:vAlign w:val="center"/>
          </w:tcPr>
          <w:p>
            <w:pPr>
              <w:ind w:hanging="1"/>
              <w:jc w:val="right"/>
            </w:pPr>
            <w:r>
              <w:rPr>
                <w:b w:val="0"/>
                <w:i w:val="0"/>
                <w:strike w:val="0"/>
                <w:u w:val="none"/>
              </w:rPr>
              <w:t>10,315,261.37</w:t>
            </w:r>
          </w:p>
        </w:tc>
        <w:tc>
          <w:tcPr>
            <w:tcW w:w="2431" w:type="dxa"/>
            <w:shd w:val="clear" w:color="auto" w:fill="auto"/>
            <w:vAlign w:val="center"/>
          </w:tcPr>
          <w:p>
            <w:pPr>
              <w:ind w:hanging="1"/>
              <w:jc w:val="right"/>
            </w:pPr>
            <w:r>
              <w:rPr>
                <w:rFonts w:hint="eastAsia"/>
                <w:b w:val="0"/>
                <w:i w:val="0"/>
                <w:strike w:val="0"/>
                <w:u w:val="none"/>
              </w:rPr>
              <w:t>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25羊安01</w:t>
            </w:r>
          </w:p>
        </w:tc>
        <w:tc>
          <w:tcPr>
            <w:tcW w:w="2693" w:type="dxa"/>
            <w:shd w:val="clear" w:color="auto" w:fill="auto"/>
            <w:vAlign w:val="center"/>
          </w:tcPr>
          <w:p>
            <w:pPr>
              <w:ind w:hanging="1"/>
              <w:jc w:val="right"/>
            </w:pPr>
            <w:r>
              <w:rPr>
                <w:b w:val="0"/>
                <w:i w:val="0"/>
                <w:strike w:val="0"/>
                <w:u w:val="none"/>
              </w:rPr>
              <w:t>10,013,287.67</w:t>
            </w:r>
          </w:p>
        </w:tc>
        <w:tc>
          <w:tcPr>
            <w:tcW w:w="2431" w:type="dxa"/>
            <w:shd w:val="clear" w:color="auto" w:fill="auto"/>
            <w:vAlign w:val="center"/>
          </w:tcPr>
          <w:p>
            <w:pPr>
              <w:ind w:hanging="1"/>
              <w:jc w:val="right"/>
            </w:pPr>
            <w:r>
              <w:rPr>
                <w:rFonts w:hint="eastAsia"/>
                <w:b w:val="0"/>
                <w:i w:val="0"/>
                <w:strike w:val="0"/>
                <w:u w:val="none"/>
              </w:rPr>
              <w:t>3.71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21攀国投</w:t>
      </w:r>
      <w:r>
        <w:rPr>
          <w:rFonts w:hint="eastAsia" w:asciiTheme="minorEastAsia" w:hAnsiTheme="minorEastAsia" w:eastAsiaTheme="minorEastAsia"/>
          <w:szCs w:val="21"/>
        </w:rPr>
        <w:t>属于关联交易。</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BA43089"/>
    <w:rsid w:val="1DD13355"/>
    <w:rsid w:val="1F246194"/>
    <w:rsid w:val="21AF23DE"/>
    <w:rsid w:val="250932D9"/>
    <w:rsid w:val="30D863E3"/>
    <w:rsid w:val="35706056"/>
    <w:rsid w:val="35844C1F"/>
    <w:rsid w:val="378A66D0"/>
    <w:rsid w:val="37EE5159"/>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2025-10-16T07:21:28Z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36EC41E6CD6D4DF382A549321FC90B25</vt:lpwstr>
  </property>
</Properties>
</file>