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四川银行定开系列3个月7号净值型理财产品</w:t>
      </w:r>
    </w:p>
    <w:p>
      <w:pPr>
        <w:jc w:val="center"/>
        <w:rPr>
          <w:rFonts w:ascii="宋体" w:hAnsi="宋体"/>
          <w:b/>
          <w:bCs/>
          <w:sz w:val="48"/>
          <w:szCs w:val="30"/>
        </w:rPr>
      </w:pPr>
      <w:r>
        <w:rPr>
          <w:rFonts w:ascii="宋体" w:hAnsi="宋体"/>
          <w:b/>
          <w:bCs/>
          <w:sz w:val="48"/>
          <w:szCs w:val="30"/>
        </w:rPr>
        <w:t>2025年第3季度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自2025-07-01起至2025-09-30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四川银行定开系列3个月7号净值型理财产品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2022-05-19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634,709,184.00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四川银行-四川银行定开系列3个月7号净值型理财产品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2025-07-01</w:t>
            </w:r>
            <w:r>
              <w:rPr>
                <w:rFonts w:hint="eastAsia" w:ascii="宋体" w:hAnsi="宋体"/>
              </w:rPr>
              <w:t>至</w:t>
            </w:r>
            <w:r>
              <w:rPr>
                <w:rFonts w:ascii="宋体" w:hAnsi="宋体"/>
              </w:rPr>
              <w:t>2025-09-30</w:t>
            </w:r>
            <w:r>
              <w:rPr>
                <w:rFonts w:hint="eastAsia" w:ascii="宋体" w:hAnsi="宋体"/>
              </w:rPr>
              <w:t>）</w:t>
            </w:r>
          </w:p>
        </w:tc>
        <w:tc>
          <w:tcPr>
            <w:tcW w:w="5103" w:type="dxa"/>
            <w:vAlign w:val="center"/>
          </w:tcPr>
          <w:p>
            <w:pPr>
              <w:jc w:val="right"/>
            </w:pPr>
            <w:r>
              <w:t>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10.21</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2025-07-01</w:t>
            </w:r>
            <w:r>
              <w:rPr>
                <w:rFonts w:hint="eastAsia"/>
                <w:b/>
              </w:rPr>
              <w:t xml:space="preserve">至 </w:t>
            </w:r>
            <w:r>
              <w:rPr>
                <w:b/>
              </w:rPr>
              <w:t>2025-09-30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5,943,830.39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3,608,277.56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636,545,493.31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636,545,493.31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1.1021</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555,945,776.20</w:t>
            </w:r>
          </w:p>
        </w:tc>
        <w:tc>
          <w:tcPr>
            <w:tcW w:w="1749" w:type="dxa"/>
            <w:shd w:val="clear" w:color="auto" w:fill="auto"/>
            <w:vAlign w:val="center"/>
          </w:tcPr>
          <w:p>
            <w:pPr>
              <w:jc w:val="right"/>
            </w:pPr>
            <w:r>
              <w:t>87.06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555,945,776.20</w:t>
            </w:r>
          </w:p>
        </w:tc>
        <w:tc>
          <w:tcPr>
            <w:tcW w:w="1749" w:type="dxa"/>
            <w:shd w:val="clear" w:color="auto" w:fill="auto"/>
            <w:vAlign w:val="center"/>
          </w:tcPr>
          <w:p>
            <w:pPr>
              <w:jc w:val="right"/>
            </w:pPr>
            <w:r>
              <w:t>87.06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79,969,196.76</w:t>
            </w:r>
          </w:p>
        </w:tc>
        <w:tc>
          <w:tcPr>
            <w:tcW w:w="1749" w:type="dxa"/>
            <w:shd w:val="clear" w:color="auto" w:fill="auto"/>
            <w:vAlign w:val="center"/>
          </w:tcPr>
          <w:p>
            <w:pPr>
              <w:jc w:val="right"/>
            </w:pPr>
            <w:r>
              <w:t>12.52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2,608,466.12</w:t>
            </w:r>
          </w:p>
        </w:tc>
        <w:tc>
          <w:tcPr>
            <w:tcW w:w="1749" w:type="dxa"/>
            <w:shd w:val="clear" w:color="auto" w:fill="auto"/>
            <w:vAlign w:val="center"/>
          </w:tcPr>
          <w:p>
            <w:pPr>
              <w:jc w:val="right"/>
            </w:pPr>
            <w:r>
              <w:t>0.41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65,724.29</w:t>
            </w:r>
          </w:p>
        </w:tc>
        <w:tc>
          <w:tcPr>
            <w:tcW w:w="1749" w:type="dxa"/>
            <w:shd w:val="clear" w:color="auto" w:fill="auto"/>
            <w:vAlign w:val="center"/>
          </w:tcPr>
          <w:p>
            <w:pPr>
              <w:jc w:val="right"/>
            </w:pPr>
            <w:r>
              <w:t>0.01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638,589,163.37</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GC014</w:t>
            </w:r>
          </w:p>
        </w:tc>
        <w:tc>
          <w:tcPr>
            <w:tcW w:w="2693" w:type="dxa"/>
            <w:shd w:val="clear" w:color="auto" w:fill="auto"/>
            <w:vAlign w:val="center"/>
          </w:tcPr>
          <w:p>
            <w:pPr>
              <w:jc w:val="right"/>
            </w:pPr>
            <w:r>
              <w:t>80,000,160.00</w:t>
            </w:r>
          </w:p>
        </w:tc>
        <w:tc>
          <w:tcPr>
            <w:tcW w:w="2431" w:type="dxa"/>
            <w:shd w:val="clear" w:color="auto" w:fill="auto"/>
            <w:vAlign w:val="center"/>
          </w:tcPr>
          <w:p>
            <w:pPr>
              <w:jc w:val="right"/>
            </w:pPr>
            <w:bookmarkStart w:id="3" w:name="OLE_LINK6"/>
            <w:bookmarkEnd w:id="3"/>
            <w:bookmarkStart w:id="4" w:name="OLE_LINK5"/>
            <w:bookmarkEnd w:id="4"/>
            <w:r>
              <w:rPr>
                <w:rFonts w:hint="eastAsia"/>
              </w:rPr>
              <w:t>12.57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pPr>
              <w:ind w:hanging="1"/>
              <w:jc w:val="right"/>
            </w:pPr>
            <w:r>
              <w:rPr>
                <w:b w:val="0"/>
                <w:i w:val="0"/>
                <w:strike w:val="0"/>
                <w:u w:val="none"/>
              </w:rPr>
              <w:t>30,261,304.11</w:t>
            </w:r>
          </w:p>
        </w:tc>
        <w:tc>
          <w:tcPr>
            <w:tcW w:w="2431" w:type="dxa"/>
            <w:shd w:val="clear" w:color="auto" w:fill="auto"/>
            <w:vAlign w:val="center"/>
          </w:tcPr>
          <w:p>
            <w:pPr>
              <w:ind w:hanging="1"/>
              <w:jc w:val="right"/>
            </w:pPr>
            <w:r>
              <w:rPr>
                <w:rFonts w:hint="eastAsia"/>
                <w:b w:val="0"/>
                <w:i w:val="0"/>
                <w:strike w:val="0"/>
                <w:u w:val="none"/>
              </w:rPr>
              <w:t>4.75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pPr>
              <w:ind w:hanging="1"/>
              <w:jc w:val="right"/>
            </w:pPr>
            <w:r>
              <w:rPr>
                <w:b w:val="0"/>
                <w:i w:val="0"/>
                <w:strike w:val="0"/>
                <w:u w:val="none"/>
              </w:rPr>
              <w:t>24,152,745.21</w:t>
            </w:r>
          </w:p>
        </w:tc>
        <w:tc>
          <w:tcPr>
            <w:tcW w:w="2431" w:type="dxa"/>
            <w:shd w:val="clear" w:color="auto" w:fill="auto"/>
            <w:vAlign w:val="center"/>
          </w:tcPr>
          <w:p>
            <w:pPr>
              <w:ind w:hanging="1"/>
              <w:jc w:val="right"/>
            </w:pPr>
            <w:r>
              <w:rPr>
                <w:rFonts w:hint="eastAsia"/>
                <w:b w:val="0"/>
                <w:i w:val="0"/>
                <w:strike w:val="0"/>
                <w:u w:val="none"/>
              </w:rPr>
              <w:t>3.79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23阳安债</w:t>
            </w:r>
          </w:p>
        </w:tc>
        <w:tc>
          <w:tcPr>
            <w:tcW w:w="2693" w:type="dxa"/>
            <w:shd w:val="clear" w:color="auto" w:fill="auto"/>
            <w:vAlign w:val="center"/>
          </w:tcPr>
          <w:p>
            <w:pPr>
              <w:ind w:hanging="1"/>
              <w:jc w:val="right"/>
            </w:pPr>
            <w:r>
              <w:rPr>
                <w:b w:val="0"/>
                <w:i w:val="0"/>
                <w:strike w:val="0"/>
                <w:u w:val="none"/>
              </w:rPr>
              <w:t>21,758,684.93</w:t>
            </w:r>
          </w:p>
        </w:tc>
        <w:tc>
          <w:tcPr>
            <w:tcW w:w="2431" w:type="dxa"/>
            <w:shd w:val="clear" w:color="auto" w:fill="auto"/>
            <w:vAlign w:val="center"/>
          </w:tcPr>
          <w:p>
            <w:pPr>
              <w:ind w:hanging="1"/>
              <w:jc w:val="right"/>
            </w:pPr>
            <w:r>
              <w:rPr>
                <w:rFonts w:hint="eastAsia"/>
                <w:b w:val="0"/>
                <w:i w:val="0"/>
                <w:strike w:val="0"/>
                <w:u w:val="none"/>
              </w:rPr>
              <w:t>3.42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24自高01</w:t>
            </w:r>
          </w:p>
        </w:tc>
        <w:tc>
          <w:tcPr>
            <w:tcW w:w="2693" w:type="dxa"/>
            <w:shd w:val="clear" w:color="auto" w:fill="auto"/>
            <w:vAlign w:val="center"/>
          </w:tcPr>
          <w:p>
            <w:pPr>
              <w:ind w:hanging="1"/>
              <w:jc w:val="right"/>
            </w:pPr>
            <w:r>
              <w:rPr>
                <w:b w:val="0"/>
                <w:i w:val="0"/>
                <w:strike w:val="0"/>
                <w:u w:val="none"/>
              </w:rPr>
              <w:t>21,112,712.33</w:t>
            </w:r>
          </w:p>
        </w:tc>
        <w:tc>
          <w:tcPr>
            <w:tcW w:w="2431" w:type="dxa"/>
            <w:shd w:val="clear" w:color="auto" w:fill="auto"/>
            <w:vAlign w:val="center"/>
          </w:tcPr>
          <w:p>
            <w:pPr>
              <w:ind w:hanging="1"/>
              <w:jc w:val="right"/>
            </w:pPr>
            <w:r>
              <w:rPr>
                <w:rFonts w:hint="eastAsia"/>
                <w:b w:val="0"/>
                <w:i w:val="0"/>
                <w:strike w:val="0"/>
                <w:u w:val="none"/>
              </w:rPr>
              <w:t>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25眉资03</w:t>
            </w:r>
          </w:p>
        </w:tc>
        <w:tc>
          <w:tcPr>
            <w:tcW w:w="2693" w:type="dxa"/>
            <w:shd w:val="clear" w:color="auto" w:fill="auto"/>
            <w:vAlign w:val="center"/>
          </w:tcPr>
          <w:p>
            <w:pPr>
              <w:ind w:hanging="1"/>
              <w:jc w:val="right"/>
            </w:pPr>
            <w:r>
              <w:rPr>
                <w:b w:val="0"/>
                <w:i w:val="0"/>
                <w:strike w:val="0"/>
                <w:u w:val="none"/>
              </w:rPr>
              <w:t>19,991,534.25</w:t>
            </w:r>
          </w:p>
        </w:tc>
        <w:tc>
          <w:tcPr>
            <w:tcW w:w="2431" w:type="dxa"/>
            <w:shd w:val="clear" w:color="auto" w:fill="auto"/>
            <w:vAlign w:val="center"/>
          </w:tcPr>
          <w:p>
            <w:pPr>
              <w:ind w:hanging="1"/>
              <w:jc w:val="right"/>
            </w:pPr>
            <w:r>
              <w:rPr>
                <w:rFonts w:hint="eastAsia"/>
                <w:b w:val="0"/>
                <w:i w:val="0"/>
                <w:strike w:val="0"/>
                <w:u w:val="none"/>
              </w:rPr>
              <w:t>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25贵阳银行CD056</w:t>
            </w:r>
          </w:p>
        </w:tc>
        <w:tc>
          <w:tcPr>
            <w:tcW w:w="2693" w:type="dxa"/>
            <w:shd w:val="clear" w:color="auto" w:fill="auto"/>
            <w:vAlign w:val="center"/>
          </w:tcPr>
          <w:p>
            <w:pPr>
              <w:ind w:hanging="1"/>
              <w:jc w:val="right"/>
            </w:pPr>
            <w:r>
              <w:rPr>
                <w:b w:val="0"/>
                <w:i w:val="0"/>
                <w:strike w:val="0"/>
                <w:u w:val="none"/>
              </w:rPr>
              <w:t>19,965,149.35</w:t>
            </w:r>
          </w:p>
        </w:tc>
        <w:tc>
          <w:tcPr>
            <w:tcW w:w="2431" w:type="dxa"/>
            <w:shd w:val="clear" w:color="auto" w:fill="auto"/>
            <w:vAlign w:val="center"/>
          </w:tcPr>
          <w:p>
            <w:pPr>
              <w:ind w:hanging="1"/>
              <w:jc w:val="right"/>
            </w:pPr>
            <w:r>
              <w:rPr>
                <w:rFonts w:hint="eastAsia"/>
                <w:b w:val="0"/>
                <w:i w:val="0"/>
                <w:strike w:val="0"/>
                <w:u w:val="none"/>
              </w:rPr>
              <w:t>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25广东顺德农商行CD006</w:t>
            </w:r>
          </w:p>
        </w:tc>
        <w:tc>
          <w:tcPr>
            <w:tcW w:w="2693" w:type="dxa"/>
            <w:shd w:val="clear" w:color="auto" w:fill="auto"/>
            <w:vAlign w:val="center"/>
          </w:tcPr>
          <w:p>
            <w:pPr>
              <w:ind w:hanging="1"/>
              <w:jc w:val="right"/>
            </w:pPr>
            <w:r>
              <w:rPr>
                <w:b w:val="0"/>
                <w:i w:val="0"/>
                <w:strike w:val="0"/>
                <w:u w:val="none"/>
              </w:rPr>
              <w:t>19,847,613.15</w:t>
            </w:r>
          </w:p>
        </w:tc>
        <w:tc>
          <w:tcPr>
            <w:tcW w:w="2431" w:type="dxa"/>
            <w:shd w:val="clear" w:color="auto" w:fill="auto"/>
            <w:vAlign w:val="center"/>
          </w:tcPr>
          <w:p>
            <w:pPr>
              <w:ind w:hanging="1"/>
              <w:jc w:val="right"/>
            </w:pPr>
            <w:r>
              <w:rPr>
                <w:rFonts w:hint="eastAsia"/>
                <w:b w:val="0"/>
                <w:i w:val="0"/>
                <w:strike w:val="0"/>
                <w:u w:val="none"/>
              </w:rPr>
              <w:t>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25东莞农村商业银行CD068</w:t>
            </w:r>
          </w:p>
        </w:tc>
        <w:tc>
          <w:tcPr>
            <w:tcW w:w="2693" w:type="dxa"/>
            <w:shd w:val="clear" w:color="auto" w:fill="auto"/>
            <w:vAlign w:val="center"/>
          </w:tcPr>
          <w:p>
            <w:pPr>
              <w:ind w:hanging="1"/>
              <w:jc w:val="right"/>
            </w:pPr>
            <w:r>
              <w:rPr>
                <w:b w:val="0"/>
                <w:i w:val="0"/>
                <w:strike w:val="0"/>
                <w:u w:val="none"/>
              </w:rPr>
              <w:t>19,795,316.38</w:t>
            </w:r>
          </w:p>
        </w:tc>
        <w:tc>
          <w:tcPr>
            <w:tcW w:w="2431" w:type="dxa"/>
            <w:shd w:val="clear" w:color="auto" w:fill="auto"/>
            <w:vAlign w:val="center"/>
          </w:tcPr>
          <w:p>
            <w:pPr>
              <w:ind w:hanging="1"/>
              <w:jc w:val="right"/>
            </w:pPr>
            <w:r>
              <w:rPr>
                <w:rFonts w:hint="eastAsia"/>
                <w:b w:val="0"/>
                <w:i w:val="0"/>
                <w:strike w:val="0"/>
                <w:u w:val="none"/>
              </w:rPr>
              <w:t>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25东莞银行CD102</w:t>
            </w:r>
          </w:p>
        </w:tc>
        <w:tc>
          <w:tcPr>
            <w:tcW w:w="2693" w:type="dxa"/>
            <w:shd w:val="clear" w:color="auto" w:fill="auto"/>
            <w:vAlign w:val="center"/>
          </w:tcPr>
          <w:p>
            <w:pPr>
              <w:ind w:hanging="1"/>
              <w:jc w:val="right"/>
            </w:pPr>
            <w:r>
              <w:rPr>
                <w:b w:val="0"/>
                <w:i w:val="0"/>
                <w:strike w:val="0"/>
                <w:u w:val="none"/>
              </w:rPr>
              <w:t>19,795,316.38</w:t>
            </w:r>
          </w:p>
        </w:tc>
        <w:tc>
          <w:tcPr>
            <w:tcW w:w="2431" w:type="dxa"/>
            <w:shd w:val="clear" w:color="auto" w:fill="auto"/>
            <w:vAlign w:val="center"/>
          </w:tcPr>
          <w:p>
            <w:pPr>
              <w:ind w:hanging="1"/>
              <w:jc w:val="right"/>
            </w:pPr>
            <w:r>
              <w:rPr>
                <w:rFonts w:hint="eastAsia"/>
                <w:b w:val="0"/>
                <w:i w:val="0"/>
                <w:strike w:val="0"/>
                <w:u w:val="none"/>
              </w:rPr>
              <w:t>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25江西银行CD101</w:t>
            </w:r>
          </w:p>
        </w:tc>
        <w:tc>
          <w:tcPr>
            <w:tcW w:w="2693" w:type="dxa"/>
            <w:shd w:val="clear" w:color="auto" w:fill="auto"/>
            <w:vAlign w:val="center"/>
          </w:tcPr>
          <w:p>
            <w:pPr>
              <w:ind w:hanging="1"/>
              <w:jc w:val="right"/>
            </w:pPr>
            <w:r>
              <w:rPr>
                <w:b w:val="0"/>
                <w:i w:val="0"/>
                <w:strike w:val="0"/>
                <w:u w:val="none"/>
              </w:rPr>
              <w:t>19,777,753.85</w:t>
            </w:r>
          </w:p>
        </w:tc>
        <w:tc>
          <w:tcPr>
            <w:tcW w:w="2431" w:type="dxa"/>
            <w:shd w:val="clear" w:color="auto" w:fill="auto"/>
            <w:vAlign w:val="center"/>
          </w:tcPr>
          <w:p>
            <w:pPr>
              <w:ind w:hanging="1"/>
              <w:jc w:val="right"/>
            </w:pPr>
            <w:r>
              <w:rPr>
                <w:rFonts w:hint="eastAsia"/>
                <w:b w:val="0"/>
                <w:i w:val="0"/>
                <w:strike w:val="0"/>
                <w:u w:val="none"/>
              </w:rPr>
              <w:t>3.11</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4C6023"/>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2025-10-16T06:50:25Z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ACE6BA40DE2147789291F0A0931567F2</vt:lpwstr>
  </property>
</Properties>
</file>