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四川银行定开系列3个月2号净值型理财产品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739,462,960.00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10.59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5,961,107.27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3,895,700.60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743,162,300.73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743,162,300.73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1.1059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541,062,066.84</w:t>
            </w:r>
          </w:p>
        </w:tc>
        <w:tc>
          <w:tcPr>
            <w:tcW w:w="1749" w:type="dxa"/>
            <w:shd w:val="clear" w:color="auto" w:fill="auto"/>
            <w:vAlign w:val="center"/>
          </w:tcPr>
          <w:p>
            <w:pPr>
              <w:jc w:val="right"/>
            </w:pPr>
            <w:r>
              <w:t>72.49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530,091,831.13</w:t>
            </w:r>
          </w:p>
        </w:tc>
        <w:tc>
          <w:tcPr>
            <w:tcW w:w="1749" w:type="dxa"/>
            <w:shd w:val="clear" w:color="auto" w:fill="auto"/>
            <w:vAlign w:val="center"/>
          </w:tcPr>
          <w:p>
            <w:pPr>
              <w:jc w:val="right"/>
            </w:pPr>
            <w:r>
              <w:t>71.02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10,970,235.71</w:t>
            </w:r>
          </w:p>
        </w:tc>
        <w:tc>
          <w:tcPr>
            <w:tcW w:w="1749" w:type="dxa"/>
            <w:shd w:val="clear" w:color="auto" w:fill="auto"/>
            <w:vAlign w:val="center"/>
          </w:tcPr>
          <w:p>
            <w:pPr>
              <w:jc w:val="right"/>
            </w:pPr>
            <w:r>
              <w:t>1.47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-30,963.24</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125,165,181.79</w:t>
            </w:r>
          </w:p>
        </w:tc>
        <w:tc>
          <w:tcPr>
            <w:tcW w:w="1749" w:type="dxa"/>
            <w:shd w:val="clear" w:color="auto" w:fill="auto"/>
            <w:vAlign w:val="center"/>
          </w:tcPr>
          <w:p>
            <w:pPr>
              <w:jc w:val="right"/>
            </w:pPr>
            <w:r>
              <w:t>16.77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80,239,023.23</w:t>
            </w:r>
          </w:p>
        </w:tc>
        <w:tc>
          <w:tcPr>
            <w:tcW w:w="1749" w:type="dxa"/>
            <w:shd w:val="clear" w:color="auto" w:fill="auto"/>
            <w:vAlign w:val="center"/>
          </w:tcPr>
          <w:p>
            <w:pPr>
              <w:jc w:val="right"/>
            </w:pPr>
            <w:r>
              <w:t>10.75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746,435,308.62</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25唐山银行CD157</w:t>
            </w:r>
          </w:p>
        </w:tc>
        <w:tc>
          <w:tcPr>
            <w:tcW w:w="2693" w:type="dxa"/>
            <w:shd w:val="clear" w:color="auto" w:fill="auto"/>
            <w:vAlign w:val="center"/>
          </w:tcPr>
          <w:p>
            <w:pPr>
              <w:jc w:val="right"/>
            </w:pPr>
            <w:r>
              <w:t>29,843,491.14</w:t>
            </w:r>
          </w:p>
        </w:tc>
        <w:tc>
          <w:tcPr>
            <w:tcW w:w="2431" w:type="dxa"/>
            <w:shd w:val="clear" w:color="auto" w:fill="auto"/>
            <w:vAlign w:val="center"/>
          </w:tcPr>
          <w:p>
            <w:pPr>
              <w:jc w:val="right"/>
            </w:pPr>
            <w:bookmarkStart w:id="3" w:name="OLE_LINK6"/>
            <w:bookmarkEnd w:id="3"/>
            <w:bookmarkStart w:id="4" w:name="OLE_LINK5"/>
            <w:bookmarkEnd w:id="4"/>
            <w:r>
              <w:rPr>
                <w:rFonts w:hint="eastAsia"/>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25渤海银行CD276</w:t>
            </w:r>
          </w:p>
        </w:tc>
        <w:tc>
          <w:tcPr>
            <w:tcW w:w="2693" w:type="dxa"/>
            <w:shd w:val="clear" w:color="auto" w:fill="auto"/>
            <w:vAlign w:val="center"/>
          </w:tcPr>
          <w:p>
            <w:pPr>
              <w:ind w:hanging="1"/>
              <w:jc w:val="right"/>
            </w:pPr>
            <w:r>
              <w:rPr>
                <w:b w:val="0"/>
                <w:i w:val="0"/>
                <w:strike w:val="0"/>
                <w:u w:val="none"/>
              </w:rPr>
              <w:t>29,838,951.36</w:t>
            </w:r>
          </w:p>
        </w:tc>
        <w:tc>
          <w:tcPr>
            <w:tcW w:w="2431" w:type="dxa"/>
            <w:shd w:val="clear" w:color="auto" w:fill="auto"/>
            <w:vAlign w:val="center"/>
          </w:tcPr>
          <w:p>
            <w:pPr>
              <w:ind w:hanging="1"/>
              <w:jc w:val="right"/>
            </w:pPr>
            <w:r>
              <w:rPr>
                <w:rFonts w:hint="eastAsia"/>
                <w:b w:val="0"/>
                <w:i w:val="0"/>
                <w:strike w:val="0"/>
                <w:u w:val="none"/>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20,926,164.38</w:t>
            </w:r>
          </w:p>
        </w:tc>
        <w:tc>
          <w:tcPr>
            <w:tcW w:w="2431" w:type="dxa"/>
            <w:shd w:val="clear" w:color="auto" w:fill="auto"/>
            <w:vAlign w:val="center"/>
          </w:tcPr>
          <w:p>
            <w:pPr>
              <w:ind w:hanging="1"/>
              <w:jc w:val="right"/>
            </w:pPr>
            <w:r>
              <w:rPr>
                <w:rFonts w:hint="eastAsia"/>
                <w:b w:val="0"/>
                <w:i w:val="0"/>
                <w:strike w:val="0"/>
                <w:u w:val="none"/>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20,885,589.04</w:t>
            </w:r>
          </w:p>
        </w:tc>
        <w:tc>
          <w:tcPr>
            <w:tcW w:w="2431" w:type="dxa"/>
            <w:shd w:val="clear" w:color="auto" w:fill="auto"/>
            <w:vAlign w:val="center"/>
          </w:tcPr>
          <w:p>
            <w:pPr>
              <w:ind w:hanging="1"/>
              <w:jc w:val="right"/>
            </w:pPr>
            <w:r>
              <w:rPr>
                <w:rFonts w:hint="eastAsia"/>
                <w:b w:val="0"/>
                <w:i w:val="0"/>
                <w:strike w:val="0"/>
                <w:u w:val="none"/>
              </w:rPr>
              <w:t>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20,607,068.49</w:t>
            </w:r>
          </w:p>
        </w:tc>
        <w:tc>
          <w:tcPr>
            <w:tcW w:w="2431" w:type="dxa"/>
            <w:shd w:val="clear" w:color="auto" w:fill="auto"/>
            <w:vAlign w:val="center"/>
          </w:tcPr>
          <w:p>
            <w:pPr>
              <w:ind w:hanging="1"/>
              <w:jc w:val="right"/>
            </w:pPr>
            <w:r>
              <w:rPr>
                <w:rFonts w:hint="eastAsia"/>
                <w:b w:val="0"/>
                <w:i w:val="0"/>
                <w:strike w:val="0"/>
                <w:u w:val="none"/>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20,483,178.08</w:t>
            </w:r>
          </w:p>
        </w:tc>
        <w:tc>
          <w:tcPr>
            <w:tcW w:w="2431" w:type="dxa"/>
            <w:shd w:val="clear" w:color="auto" w:fill="auto"/>
            <w:vAlign w:val="center"/>
          </w:tcPr>
          <w:p>
            <w:pPr>
              <w:ind w:hanging="1"/>
              <w:jc w:val="right"/>
            </w:pPr>
            <w:r>
              <w:rPr>
                <w:rFonts w:hint="eastAsia"/>
                <w:b w:val="0"/>
                <w:i w:val="0"/>
                <w:strike w:val="0"/>
                <w:u w:val="none"/>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pPr>
              <w:ind w:hanging="1"/>
              <w:jc w:val="right"/>
            </w:pPr>
            <w:r>
              <w:rPr>
                <w:b w:val="0"/>
                <w:i w:val="0"/>
                <w:strike w:val="0"/>
                <w:u w:val="none"/>
              </w:rPr>
              <w:t>20,446,054.79</w:t>
            </w:r>
          </w:p>
        </w:tc>
        <w:tc>
          <w:tcPr>
            <w:tcW w:w="2431" w:type="dxa"/>
            <w:shd w:val="clear" w:color="auto" w:fill="auto"/>
            <w:vAlign w:val="center"/>
          </w:tcPr>
          <w:p>
            <w:pPr>
              <w:ind w:hanging="1"/>
              <w:jc w:val="right"/>
            </w:pPr>
            <w:r>
              <w:rPr>
                <w:rFonts w:hint="eastAsia"/>
                <w:b w:val="0"/>
                <w:i w:val="0"/>
                <w:strike w:val="0"/>
                <w:u w:val="none"/>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20,127,287.67</w:t>
            </w:r>
          </w:p>
        </w:tc>
        <w:tc>
          <w:tcPr>
            <w:tcW w:w="2431" w:type="dxa"/>
            <w:shd w:val="clear" w:color="auto" w:fill="auto"/>
            <w:vAlign w:val="center"/>
          </w:tcPr>
          <w:p>
            <w:pPr>
              <w:ind w:hanging="1"/>
              <w:jc w:val="right"/>
            </w:pPr>
            <w:r>
              <w:rPr>
                <w:rFonts w:hint="eastAsia"/>
                <w:b w:val="0"/>
                <w:i w:val="0"/>
                <w:strike w:val="0"/>
                <w:u w:val="none"/>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pPr>
              <w:ind w:hanging="1"/>
              <w:jc w:val="right"/>
            </w:pPr>
            <w:r>
              <w:rPr>
                <w:b w:val="0"/>
                <w:i w:val="0"/>
                <w:strike w:val="0"/>
                <w:u w:val="none"/>
              </w:rPr>
              <w:t>19,965,149.35</w:t>
            </w:r>
          </w:p>
        </w:tc>
        <w:tc>
          <w:tcPr>
            <w:tcW w:w="2431" w:type="dxa"/>
            <w:shd w:val="clear" w:color="auto" w:fill="auto"/>
            <w:vAlign w:val="center"/>
          </w:tcPr>
          <w:p>
            <w:pPr>
              <w:ind w:hanging="1"/>
              <w:jc w:val="right"/>
            </w:pPr>
            <w:r>
              <w:rPr>
                <w:rFonts w:hint="eastAsia"/>
                <w:b w:val="0"/>
                <w:i w:val="0"/>
                <w:strike w:val="0"/>
                <w:u w:val="none"/>
              </w:rPr>
              <w:t>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25江苏江南农村商业银行CD047</w:t>
            </w:r>
          </w:p>
        </w:tc>
        <w:tc>
          <w:tcPr>
            <w:tcW w:w="2693" w:type="dxa"/>
            <w:shd w:val="clear" w:color="auto" w:fill="auto"/>
            <w:vAlign w:val="center"/>
          </w:tcPr>
          <w:p>
            <w:pPr>
              <w:ind w:hanging="1"/>
              <w:jc w:val="right"/>
            </w:pPr>
            <w:r>
              <w:rPr>
                <w:b w:val="0"/>
                <w:i w:val="0"/>
                <w:strike w:val="0"/>
                <w:u w:val="none"/>
              </w:rPr>
              <w:t>19,908,413.04</w:t>
            </w:r>
          </w:p>
        </w:tc>
        <w:tc>
          <w:tcPr>
            <w:tcW w:w="2431" w:type="dxa"/>
            <w:shd w:val="clear" w:color="auto" w:fill="auto"/>
            <w:vAlign w:val="center"/>
          </w:tcPr>
          <w:p>
            <w:pPr>
              <w:ind w:hanging="1"/>
              <w:jc w:val="right"/>
            </w:pPr>
            <w:r>
              <w:rPr>
                <w:rFonts w:hint="eastAsia"/>
                <w:b w:val="0"/>
                <w:i w:val="0"/>
                <w:strike w:val="0"/>
                <w:u w:val="none"/>
              </w:rPr>
              <w:t>2.68</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9583869"/>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2025-10-16T06:44:49Z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9247CF3515224508934BCDE7C9FD3283</vt:lpwstr>
  </property>
</Properties>
</file>