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四川银行定开系列3个月10号净值型理财产品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615,947,500.00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10.10</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7,066,541.19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3,909,814.90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616,949,891.27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eastAsia="宋体"/>
                <w:lang w:val="en-US" w:eastAsia="zh-CN"/>
              </w:rPr>
            </w:pPr>
            <w:r>
              <w:rPr>
                <w:rFonts w:hint="eastAsia"/>
              </w:rPr>
              <w:t>1.101</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616,949,891.27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1.1010</w:t>
            </w:r>
          </w:p>
        </w:tc>
      </w:tr>
    </w:tbl>
    <w:p>
      <w:pPr>
        <w:tabs>
          <w:tab w:val="left" w:pos="3135"/>
        </w:tabs>
        <w:ind w:left="420" w:leftChars="200"/>
      </w:pPr>
    </w:p>
    <w:p>
      <w:pPr>
        <w:pStyle w:val="40"/>
      </w:pPr>
      <w:r>
        <w:rPr>
          <w:rFonts w:hint="eastAsia"/>
        </w:rPr>
        <w:t>投资组合情况及</w:t>
      </w:r>
      <w:r>
        <w:t>流动性风险分析</w:t>
      </w:r>
      <w:bookmarkStart w:id="5" w:name="_GoBack"/>
      <w:bookmarkEnd w:id="5"/>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540,854,215.86</w:t>
            </w:r>
          </w:p>
        </w:tc>
        <w:tc>
          <w:tcPr>
            <w:tcW w:w="1749" w:type="dxa"/>
            <w:shd w:val="clear" w:color="auto" w:fill="auto"/>
            <w:vAlign w:val="center"/>
          </w:tcPr>
          <w:p>
            <w:pPr>
              <w:jc w:val="right"/>
            </w:pPr>
            <w:r>
              <w:t>87.40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540,854,215.86</w:t>
            </w:r>
          </w:p>
        </w:tc>
        <w:tc>
          <w:tcPr>
            <w:tcW w:w="1749" w:type="dxa"/>
            <w:shd w:val="clear" w:color="auto" w:fill="auto"/>
            <w:vAlign w:val="center"/>
          </w:tcPr>
          <w:p>
            <w:pPr>
              <w:jc w:val="right"/>
            </w:pPr>
            <w:r>
              <w:t>87.40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76,971,391.38</w:t>
            </w:r>
          </w:p>
        </w:tc>
        <w:tc>
          <w:tcPr>
            <w:tcW w:w="1749" w:type="dxa"/>
            <w:shd w:val="clear" w:color="auto" w:fill="auto"/>
            <w:vAlign w:val="center"/>
          </w:tcPr>
          <w:p>
            <w:pPr>
              <w:jc w:val="right"/>
            </w:pPr>
            <w:r>
              <w:t>12.44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927,954.40</w:t>
            </w:r>
          </w:p>
        </w:tc>
        <w:tc>
          <w:tcPr>
            <w:tcW w:w="1749" w:type="dxa"/>
            <w:shd w:val="clear" w:color="auto" w:fill="auto"/>
            <w:vAlign w:val="center"/>
          </w:tcPr>
          <w:p>
            <w:pPr>
              <w:jc w:val="right"/>
            </w:pPr>
            <w:r>
              <w:t>0.15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100,494.40</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618,854,056.04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77,000,154.00</w:t>
            </w:r>
          </w:p>
        </w:tc>
        <w:tc>
          <w:tcPr>
            <w:tcW w:w="2431" w:type="dxa"/>
            <w:shd w:val="clear" w:color="auto" w:fill="auto"/>
            <w:vAlign w:val="center"/>
          </w:tcPr>
          <w:p>
            <w:pPr>
              <w:jc w:val="right"/>
            </w:pPr>
            <w:bookmarkStart w:id="3" w:name="OLE_LINK5"/>
            <w:bookmarkEnd w:id="3"/>
            <w:bookmarkStart w:id="4" w:name="OLE_LINK6"/>
            <w:bookmarkEnd w:id="4"/>
            <w:r>
              <w:rPr>
                <w:rFonts w:hint="eastAsia"/>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29,933,104.11</w:t>
            </w:r>
          </w:p>
        </w:tc>
        <w:tc>
          <w:tcPr>
            <w:tcW w:w="2431" w:type="dxa"/>
            <w:shd w:val="clear" w:color="auto" w:fill="auto"/>
            <w:vAlign w:val="center"/>
          </w:tcPr>
          <w:p>
            <w:pPr>
              <w:ind w:hanging="1"/>
              <w:jc w:val="right"/>
            </w:pPr>
            <w:r>
              <w:rPr>
                <w:rFonts w:hint="eastAsia"/>
                <w:b w:val="0"/>
                <w:i w:val="0"/>
                <w:strike w:val="0"/>
                <w:u w:val="none"/>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20,885,589.04</w:t>
            </w:r>
          </w:p>
        </w:tc>
        <w:tc>
          <w:tcPr>
            <w:tcW w:w="2431" w:type="dxa"/>
            <w:shd w:val="clear" w:color="auto" w:fill="auto"/>
            <w:vAlign w:val="center"/>
          </w:tcPr>
          <w:p>
            <w:pPr>
              <w:ind w:hanging="1"/>
              <w:jc w:val="right"/>
            </w:pPr>
            <w:r>
              <w:rPr>
                <w:rFonts w:hint="eastAsia"/>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pPr>
              <w:ind w:hanging="1"/>
              <w:jc w:val="right"/>
            </w:pPr>
            <w:r>
              <w:rPr>
                <w:b w:val="0"/>
                <w:i w:val="0"/>
                <w:strike w:val="0"/>
                <w:u w:val="none"/>
              </w:rPr>
              <w:t>20,694,498.63</w:t>
            </w:r>
          </w:p>
        </w:tc>
        <w:tc>
          <w:tcPr>
            <w:tcW w:w="2431" w:type="dxa"/>
            <w:shd w:val="clear" w:color="auto" w:fill="auto"/>
            <w:vAlign w:val="center"/>
          </w:tcPr>
          <w:p>
            <w:pPr>
              <w:ind w:hanging="1"/>
              <w:jc w:val="right"/>
            </w:pPr>
            <w:r>
              <w:rPr>
                <w:rFonts w:hint="eastAsia"/>
                <w:b w:val="0"/>
                <w:i w:val="0"/>
                <w:strike w:val="0"/>
                <w:u w:val="non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20,309,649.32</w:t>
            </w:r>
          </w:p>
        </w:tc>
        <w:tc>
          <w:tcPr>
            <w:tcW w:w="2431" w:type="dxa"/>
            <w:shd w:val="clear" w:color="auto" w:fill="auto"/>
            <w:vAlign w:val="center"/>
          </w:tcPr>
          <w:p>
            <w:pPr>
              <w:ind w:hanging="1"/>
              <w:jc w:val="right"/>
            </w:pPr>
            <w:r>
              <w:rPr>
                <w:rFonts w:hint="eastAsia"/>
                <w:b w:val="0"/>
                <w:i w:val="0"/>
                <w:strike w:val="0"/>
                <w:u w:val="non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20,174,202.74</w:t>
            </w:r>
          </w:p>
        </w:tc>
        <w:tc>
          <w:tcPr>
            <w:tcW w:w="2431" w:type="dxa"/>
            <w:shd w:val="clear" w:color="auto" w:fill="auto"/>
            <w:vAlign w:val="center"/>
          </w:tcPr>
          <w:p>
            <w:pPr>
              <w:ind w:hanging="1"/>
              <w:jc w:val="right"/>
            </w:pPr>
            <w:r>
              <w:rPr>
                <w:rFonts w:hint="eastAsia"/>
                <w:b w:val="0"/>
                <w:i w:val="0"/>
                <w:strike w:val="0"/>
                <w:u w:val="none"/>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25羊安01</w:t>
            </w:r>
          </w:p>
        </w:tc>
        <w:tc>
          <w:tcPr>
            <w:tcW w:w="2693" w:type="dxa"/>
            <w:shd w:val="clear" w:color="auto" w:fill="auto"/>
            <w:vAlign w:val="center"/>
          </w:tcPr>
          <w:p>
            <w:pPr>
              <w:ind w:hanging="1"/>
              <w:jc w:val="right"/>
            </w:pPr>
            <w:r>
              <w:rPr>
                <w:b w:val="0"/>
                <w:i w:val="0"/>
                <w:strike w:val="0"/>
                <w:u w:val="none"/>
              </w:rPr>
              <w:t>20,026,575.34</w:t>
            </w:r>
          </w:p>
        </w:tc>
        <w:tc>
          <w:tcPr>
            <w:tcW w:w="2431" w:type="dxa"/>
            <w:shd w:val="clear" w:color="auto" w:fill="auto"/>
            <w:vAlign w:val="center"/>
          </w:tcPr>
          <w:p>
            <w:pPr>
              <w:ind w:hanging="1"/>
              <w:jc w:val="right"/>
            </w:pPr>
            <w:r>
              <w:rPr>
                <w:rFonts w:hint="eastAsia"/>
                <w:b w:val="0"/>
                <w:i w:val="0"/>
                <w:strike w:val="0"/>
                <w:u w:val="non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25江苏江南农村商业银行CD047</w:t>
            </w:r>
          </w:p>
        </w:tc>
        <w:tc>
          <w:tcPr>
            <w:tcW w:w="2693" w:type="dxa"/>
            <w:shd w:val="clear" w:color="auto" w:fill="auto"/>
            <w:vAlign w:val="center"/>
          </w:tcPr>
          <w:p>
            <w:pPr>
              <w:ind w:hanging="1"/>
              <w:jc w:val="right"/>
            </w:pPr>
            <w:r>
              <w:rPr>
                <w:b w:val="0"/>
                <w:i w:val="0"/>
                <w:strike w:val="0"/>
                <w:u w:val="none"/>
              </w:rPr>
              <w:t>19,908,413.04</w:t>
            </w:r>
          </w:p>
        </w:tc>
        <w:tc>
          <w:tcPr>
            <w:tcW w:w="2431" w:type="dxa"/>
            <w:shd w:val="clear" w:color="auto" w:fill="auto"/>
            <w:vAlign w:val="center"/>
          </w:tcPr>
          <w:p>
            <w:pPr>
              <w:ind w:hanging="1"/>
              <w:jc w:val="right"/>
            </w:pPr>
            <w:r>
              <w:rPr>
                <w:rFonts w:hint="eastAsia"/>
                <w:b w:val="0"/>
                <w:i w:val="0"/>
                <w:strike w:val="0"/>
                <w:u w:val="non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25唐山银行CD157</w:t>
            </w:r>
          </w:p>
        </w:tc>
        <w:tc>
          <w:tcPr>
            <w:tcW w:w="2693" w:type="dxa"/>
            <w:shd w:val="clear" w:color="auto" w:fill="auto"/>
            <w:vAlign w:val="center"/>
          </w:tcPr>
          <w:p>
            <w:pPr>
              <w:ind w:hanging="1"/>
              <w:jc w:val="right"/>
            </w:pPr>
            <w:r>
              <w:rPr>
                <w:b w:val="0"/>
                <w:i w:val="0"/>
                <w:strike w:val="0"/>
                <w:u w:val="none"/>
              </w:rPr>
              <w:t>19,895,660.76</w:t>
            </w:r>
          </w:p>
        </w:tc>
        <w:tc>
          <w:tcPr>
            <w:tcW w:w="2431" w:type="dxa"/>
            <w:shd w:val="clear" w:color="auto" w:fill="auto"/>
            <w:vAlign w:val="center"/>
          </w:tcPr>
          <w:p>
            <w:pPr>
              <w:ind w:hanging="1"/>
              <w:jc w:val="right"/>
            </w:pPr>
            <w:r>
              <w:rPr>
                <w:rFonts w:hint="eastAsia"/>
                <w:b w:val="0"/>
                <w:i w:val="0"/>
                <w:strike w:val="0"/>
                <w:u w:val="none"/>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25广西北部湾银行CD092</w:t>
            </w:r>
          </w:p>
        </w:tc>
        <w:tc>
          <w:tcPr>
            <w:tcW w:w="2693" w:type="dxa"/>
            <w:shd w:val="clear" w:color="auto" w:fill="auto"/>
            <w:vAlign w:val="center"/>
          </w:tcPr>
          <w:p>
            <w:pPr>
              <w:ind w:hanging="1"/>
              <w:jc w:val="right"/>
            </w:pPr>
            <w:r>
              <w:rPr>
                <w:b w:val="0"/>
                <w:i w:val="0"/>
                <w:strike w:val="0"/>
                <w:u w:val="none"/>
              </w:rPr>
              <w:t>19,856,611.43</w:t>
            </w:r>
          </w:p>
        </w:tc>
        <w:tc>
          <w:tcPr>
            <w:tcW w:w="2431" w:type="dxa"/>
            <w:shd w:val="clear" w:color="auto" w:fill="auto"/>
            <w:vAlign w:val="center"/>
          </w:tcPr>
          <w:p>
            <w:pPr>
              <w:ind w:hanging="1"/>
              <w:jc w:val="right"/>
            </w:pPr>
            <w:r>
              <w:rPr>
                <w:rFonts w:hint="eastAsia"/>
                <w:b w:val="0"/>
                <w:i w:val="0"/>
                <w:strike w:val="0"/>
                <w:u w:val="none"/>
              </w:rPr>
              <w:t>3.22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CD50C0F"/>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FA8740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2025-10-17T07:41:25Z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808A0946DCC649FE86787BB8D8964BE3</vt:lpwstr>
  </property>
</Properties>
</file>