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四川银行定开系列1个月2号净值型理财产品</w:t>
      </w:r>
    </w:p>
    <w:p>
      <w:pPr>
        <w:jc w:val="center"/>
        <w:rPr>
          <w:rFonts w:ascii="宋体" w:hAnsi="宋体"/>
          <w:b/>
          <w:bCs/>
          <w:sz w:val="48"/>
          <w:szCs w:val="30"/>
        </w:rPr>
      </w:pPr>
      <w:r>
        <w:rPr>
          <w:rFonts w:ascii="宋体" w:hAnsi="宋体"/>
          <w:b/>
          <w:bCs/>
          <w:sz w:val="48"/>
          <w:szCs w:val="30"/>
        </w:rPr>
        <w:t>2025年第3季度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自2025-07-01起至2025-09-30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四川银行定开系列1个月2号净值型理财产品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2022-09-28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854,504,472.00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四川银行-四川银行定开系列1个月2号净值型理财产品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128912158810741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lang w:val="en-US" w:eastAsia="zh-CN"/>
              </w:rPr>
              <w:t>招商银行</w:t>
            </w:r>
            <w:r>
              <w:rPr>
                <w:rFonts w:hint="eastAsia" w:ascii="宋体" w:hAnsi="宋体"/>
              </w:rPr>
              <w:t>成都分行营业部</w:t>
            </w:r>
            <w:bookmarkStart w:id="5" w:name="_GoBack"/>
            <w:bookmarkEnd w:id="5"/>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2025-07-01</w:t>
            </w:r>
            <w:r>
              <w:rPr>
                <w:rFonts w:hint="eastAsia" w:ascii="宋体" w:hAnsi="宋体"/>
              </w:rPr>
              <w:t>至</w:t>
            </w:r>
            <w:r>
              <w:rPr>
                <w:rFonts w:ascii="宋体" w:hAnsi="宋体"/>
              </w:rPr>
              <w:t>2025-09-30</w:t>
            </w:r>
            <w:r>
              <w:rPr>
                <w:rFonts w:hint="eastAsia" w:ascii="宋体" w:hAnsi="宋体"/>
              </w:rPr>
              <w:t>）</w:t>
            </w:r>
          </w:p>
        </w:tc>
        <w:tc>
          <w:tcPr>
            <w:tcW w:w="5103" w:type="dxa"/>
            <w:vAlign w:val="center"/>
          </w:tcPr>
          <w:p>
            <w:pPr>
              <w:jc w:val="right"/>
            </w:pPr>
            <w:r>
              <w:t>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8.05</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2025-07-01</w:t>
            </w:r>
            <w:r>
              <w:rPr>
                <w:rFonts w:hint="eastAsia"/>
                <w:b/>
              </w:rPr>
              <w:t xml:space="preserve">至 </w:t>
            </w:r>
            <w:r>
              <w:rPr>
                <w:b/>
              </w:rPr>
              <w:t>2025-09-30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3,197,172.59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2,326,830.22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854,599,161.57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1.0805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854,599,161.57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1.0805</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543,041,919.28</w:t>
            </w:r>
          </w:p>
        </w:tc>
        <w:tc>
          <w:tcPr>
            <w:tcW w:w="1749" w:type="dxa"/>
            <w:shd w:val="clear" w:color="auto" w:fill="auto"/>
            <w:vAlign w:val="center"/>
          </w:tcPr>
          <w:p>
            <w:pPr>
              <w:jc w:val="right"/>
            </w:pPr>
            <w:r>
              <w:t>63.44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492,935,842.57</w:t>
            </w:r>
          </w:p>
        </w:tc>
        <w:tc>
          <w:tcPr>
            <w:tcW w:w="1749" w:type="dxa"/>
            <w:shd w:val="clear" w:color="auto" w:fill="auto"/>
            <w:vAlign w:val="center"/>
          </w:tcPr>
          <w:p>
            <w:pPr>
              <w:jc w:val="right"/>
            </w:pPr>
            <w:r>
              <w:t>57.59</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50,106,076.71</w:t>
            </w:r>
          </w:p>
        </w:tc>
        <w:tc>
          <w:tcPr>
            <w:tcW w:w="1749" w:type="dxa"/>
            <w:shd w:val="clear" w:color="auto" w:fill="auto"/>
            <w:vAlign w:val="center"/>
          </w:tcPr>
          <w:p>
            <w:pPr>
              <w:jc w:val="right"/>
            </w:pPr>
            <w:r>
              <w:t>5.85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219,924,463.14</w:t>
            </w:r>
          </w:p>
        </w:tc>
        <w:tc>
          <w:tcPr>
            <w:tcW w:w="1749" w:type="dxa"/>
            <w:shd w:val="clear" w:color="auto" w:fill="auto"/>
            <w:vAlign w:val="center"/>
          </w:tcPr>
          <w:p>
            <w:pPr>
              <w:jc w:val="right"/>
            </w:pPr>
            <w:r>
              <w:t>25.69</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92,829,162.71</w:t>
            </w:r>
          </w:p>
        </w:tc>
        <w:tc>
          <w:tcPr>
            <w:tcW w:w="1749" w:type="dxa"/>
            <w:shd w:val="clear" w:color="auto" w:fill="auto"/>
            <w:vAlign w:val="center"/>
          </w:tcPr>
          <w:p>
            <w:pPr>
              <w:jc w:val="right"/>
            </w:pPr>
            <w:r>
              <w:t>10.84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177,486.73</w:t>
            </w:r>
          </w:p>
        </w:tc>
        <w:tc>
          <w:tcPr>
            <w:tcW w:w="1749" w:type="dxa"/>
            <w:shd w:val="clear" w:color="auto" w:fill="auto"/>
            <w:vAlign w:val="center"/>
          </w:tcPr>
          <w:p>
            <w:pPr>
              <w:jc w:val="right"/>
            </w:pPr>
            <w:r>
              <w:t>0.02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855,973,031.86</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GC014</w:t>
            </w:r>
          </w:p>
        </w:tc>
        <w:tc>
          <w:tcPr>
            <w:tcW w:w="2693" w:type="dxa"/>
            <w:shd w:val="clear" w:color="auto" w:fill="auto"/>
            <w:vAlign w:val="center"/>
          </w:tcPr>
          <w:p>
            <w:pPr>
              <w:jc w:val="right"/>
            </w:pPr>
            <w:r>
              <w:t>220,000,440.00</w:t>
            </w:r>
          </w:p>
        </w:tc>
        <w:tc>
          <w:tcPr>
            <w:tcW w:w="2431" w:type="dxa"/>
            <w:shd w:val="clear" w:color="auto" w:fill="auto"/>
            <w:vAlign w:val="center"/>
          </w:tcPr>
          <w:p>
            <w:pPr>
              <w:jc w:val="right"/>
            </w:pPr>
            <w:bookmarkStart w:id="3" w:name="OLE_LINK6"/>
            <w:bookmarkEnd w:id="3"/>
            <w:bookmarkStart w:id="4" w:name="OLE_LINK5"/>
            <w:bookmarkEnd w:id="4"/>
            <w:r>
              <w:rPr>
                <w:rFonts w:hint="eastAsia"/>
              </w:rPr>
              <w:t>25.74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蓉工31A1</w:t>
            </w:r>
          </w:p>
        </w:tc>
        <w:tc>
          <w:tcPr>
            <w:tcW w:w="2693" w:type="dxa"/>
            <w:shd w:val="clear" w:color="auto" w:fill="auto"/>
            <w:vAlign w:val="center"/>
          </w:tcPr>
          <w:p>
            <w:pPr>
              <w:ind w:hanging="1"/>
              <w:jc w:val="right"/>
            </w:pPr>
            <w:r>
              <w:rPr>
                <w:b w:val="0"/>
                <w:i w:val="0"/>
                <w:strike w:val="0"/>
                <w:u w:val="none"/>
              </w:rPr>
              <w:t>40,070,520.55</w:t>
            </w:r>
          </w:p>
        </w:tc>
        <w:tc>
          <w:tcPr>
            <w:tcW w:w="2431" w:type="dxa"/>
            <w:shd w:val="clear" w:color="auto" w:fill="auto"/>
            <w:vAlign w:val="center"/>
          </w:tcPr>
          <w:p>
            <w:pPr>
              <w:ind w:hanging="1"/>
              <w:jc w:val="right"/>
            </w:pPr>
            <w:r>
              <w:rPr>
                <w:rFonts w:hint="eastAsia"/>
                <w:b w:val="0"/>
                <w:i w:val="0"/>
                <w:strike w:val="0"/>
                <w:u w:val="none"/>
              </w:rPr>
              <w:t>4.69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25珠海华润银行CD047</w:t>
            </w:r>
          </w:p>
        </w:tc>
        <w:tc>
          <w:tcPr>
            <w:tcW w:w="2693" w:type="dxa"/>
            <w:shd w:val="clear" w:color="auto" w:fill="auto"/>
            <w:vAlign w:val="center"/>
          </w:tcPr>
          <w:p>
            <w:pPr>
              <w:ind w:hanging="1"/>
              <w:jc w:val="right"/>
            </w:pPr>
            <w:r>
              <w:rPr>
                <w:b w:val="0"/>
                <w:i w:val="0"/>
                <w:strike w:val="0"/>
                <w:u w:val="none"/>
              </w:rPr>
              <w:t>29,545,981.48</w:t>
            </w:r>
          </w:p>
        </w:tc>
        <w:tc>
          <w:tcPr>
            <w:tcW w:w="2431" w:type="dxa"/>
            <w:shd w:val="clear" w:color="auto" w:fill="auto"/>
            <w:vAlign w:val="center"/>
          </w:tcPr>
          <w:p>
            <w:pPr>
              <w:ind w:hanging="1"/>
              <w:jc w:val="right"/>
            </w:pPr>
            <w:r>
              <w:rPr>
                <w:rFonts w:hint="eastAsia"/>
                <w:b w:val="0"/>
                <w:i w:val="0"/>
                <w:strike w:val="0"/>
                <w:u w:val="none"/>
              </w:rPr>
              <w:t>3.46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25唐山银行CD157</w:t>
            </w:r>
          </w:p>
        </w:tc>
        <w:tc>
          <w:tcPr>
            <w:tcW w:w="2693" w:type="dxa"/>
            <w:shd w:val="clear" w:color="auto" w:fill="auto"/>
            <w:vAlign w:val="center"/>
          </w:tcPr>
          <w:p>
            <w:pPr>
              <w:ind w:hanging="1"/>
              <w:jc w:val="right"/>
            </w:pPr>
            <w:r>
              <w:rPr>
                <w:b w:val="0"/>
                <w:i w:val="0"/>
                <w:strike w:val="0"/>
                <w:u w:val="none"/>
              </w:rPr>
              <w:t>19,895,660.76</w:t>
            </w:r>
          </w:p>
        </w:tc>
        <w:tc>
          <w:tcPr>
            <w:tcW w:w="2431" w:type="dxa"/>
            <w:shd w:val="clear" w:color="auto" w:fill="auto"/>
            <w:vAlign w:val="center"/>
          </w:tcPr>
          <w:p>
            <w:pPr>
              <w:ind w:hanging="1"/>
              <w:jc w:val="right"/>
            </w:pPr>
            <w:r>
              <w:rPr>
                <w:rFonts w:hint="eastAsia"/>
                <w:b w:val="0"/>
                <w:i w:val="0"/>
                <w:strike w:val="0"/>
                <w:u w:val="none"/>
              </w:rPr>
              <w:t>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25桂林银行CD049</w:t>
            </w:r>
          </w:p>
        </w:tc>
        <w:tc>
          <w:tcPr>
            <w:tcW w:w="2693" w:type="dxa"/>
            <w:shd w:val="clear" w:color="auto" w:fill="auto"/>
            <w:vAlign w:val="center"/>
          </w:tcPr>
          <w:p>
            <w:pPr>
              <w:ind w:hanging="1"/>
              <w:jc w:val="right"/>
            </w:pPr>
            <w:r>
              <w:rPr>
                <w:b w:val="0"/>
                <w:i w:val="0"/>
                <w:strike w:val="0"/>
                <w:u w:val="none"/>
              </w:rPr>
              <w:t>19,792,159.18</w:t>
            </w:r>
          </w:p>
        </w:tc>
        <w:tc>
          <w:tcPr>
            <w:tcW w:w="2431" w:type="dxa"/>
            <w:shd w:val="clear" w:color="auto" w:fill="auto"/>
            <w:vAlign w:val="center"/>
          </w:tcPr>
          <w:p>
            <w:pPr>
              <w:ind w:hanging="1"/>
              <w:jc w:val="right"/>
            </w:pPr>
            <w:r>
              <w:rPr>
                <w:rFonts w:hint="eastAsia"/>
                <w:b w:val="0"/>
                <w:i w:val="0"/>
                <w:strike w:val="0"/>
                <w:u w:val="none"/>
              </w:rPr>
              <w:t>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25长安银行CD027</w:t>
            </w:r>
          </w:p>
        </w:tc>
        <w:tc>
          <w:tcPr>
            <w:tcW w:w="2693" w:type="dxa"/>
            <w:shd w:val="clear" w:color="auto" w:fill="auto"/>
            <w:vAlign w:val="center"/>
          </w:tcPr>
          <w:p>
            <w:pPr>
              <w:ind w:hanging="1"/>
              <w:jc w:val="right"/>
            </w:pPr>
            <w:r>
              <w:rPr>
                <w:b w:val="0"/>
                <w:i w:val="0"/>
                <w:strike w:val="0"/>
                <w:u w:val="none"/>
              </w:rPr>
              <w:t>19,791,148.27</w:t>
            </w:r>
          </w:p>
        </w:tc>
        <w:tc>
          <w:tcPr>
            <w:tcW w:w="2431" w:type="dxa"/>
            <w:shd w:val="clear" w:color="auto" w:fill="auto"/>
            <w:vAlign w:val="center"/>
          </w:tcPr>
          <w:p>
            <w:pPr>
              <w:ind w:hanging="1"/>
              <w:jc w:val="right"/>
            </w:pPr>
            <w:r>
              <w:rPr>
                <w:rFonts w:hint="eastAsia"/>
                <w:b w:val="0"/>
                <w:i w:val="0"/>
                <w:strike w:val="0"/>
                <w:u w:val="none"/>
              </w:rPr>
              <w:t>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25江西银行CD101</w:t>
            </w:r>
          </w:p>
        </w:tc>
        <w:tc>
          <w:tcPr>
            <w:tcW w:w="2693" w:type="dxa"/>
            <w:shd w:val="clear" w:color="auto" w:fill="auto"/>
            <w:vAlign w:val="center"/>
          </w:tcPr>
          <w:p>
            <w:pPr>
              <w:ind w:hanging="1"/>
              <w:jc w:val="right"/>
            </w:pPr>
            <w:r>
              <w:rPr>
                <w:b w:val="0"/>
                <w:i w:val="0"/>
                <w:strike w:val="0"/>
                <w:u w:val="none"/>
              </w:rPr>
              <w:t>19,777,753.85</w:t>
            </w:r>
          </w:p>
        </w:tc>
        <w:tc>
          <w:tcPr>
            <w:tcW w:w="2431" w:type="dxa"/>
            <w:shd w:val="clear" w:color="auto" w:fill="auto"/>
            <w:vAlign w:val="center"/>
          </w:tcPr>
          <w:p>
            <w:pPr>
              <w:ind w:hanging="1"/>
              <w:jc w:val="right"/>
            </w:pPr>
            <w:r>
              <w:rPr>
                <w:rFonts w:hint="eastAsia"/>
                <w:b w:val="0"/>
                <w:i w:val="0"/>
                <w:strike w:val="0"/>
                <w:u w:val="none"/>
              </w:rPr>
              <w:t>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25天津农村商业银行CD078</w:t>
            </w:r>
          </w:p>
        </w:tc>
        <w:tc>
          <w:tcPr>
            <w:tcW w:w="2693" w:type="dxa"/>
            <w:shd w:val="clear" w:color="auto" w:fill="auto"/>
            <w:vAlign w:val="center"/>
          </w:tcPr>
          <w:p>
            <w:pPr>
              <w:ind w:hanging="1"/>
              <w:jc w:val="right"/>
            </w:pPr>
            <w:r>
              <w:rPr>
                <w:b w:val="0"/>
                <w:i w:val="0"/>
                <w:strike w:val="0"/>
                <w:u w:val="none"/>
              </w:rPr>
              <w:t>19,776,882.20</w:t>
            </w:r>
          </w:p>
        </w:tc>
        <w:tc>
          <w:tcPr>
            <w:tcW w:w="2431" w:type="dxa"/>
            <w:shd w:val="clear" w:color="auto" w:fill="auto"/>
            <w:vAlign w:val="center"/>
          </w:tcPr>
          <w:p>
            <w:pPr>
              <w:ind w:hanging="1"/>
              <w:jc w:val="right"/>
            </w:pPr>
            <w:r>
              <w:rPr>
                <w:rFonts w:hint="eastAsia"/>
                <w:b w:val="0"/>
                <w:i w:val="0"/>
                <w:strike w:val="0"/>
                <w:u w:val="none"/>
              </w:rPr>
              <w:t>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25贵阳银行CD065</w:t>
            </w:r>
          </w:p>
        </w:tc>
        <w:tc>
          <w:tcPr>
            <w:tcW w:w="2693" w:type="dxa"/>
            <w:shd w:val="clear" w:color="auto" w:fill="auto"/>
            <w:vAlign w:val="center"/>
          </w:tcPr>
          <w:p>
            <w:pPr>
              <w:ind w:hanging="1"/>
              <w:jc w:val="right"/>
            </w:pPr>
            <w:r>
              <w:rPr>
                <w:b w:val="0"/>
                <w:i w:val="0"/>
                <w:strike w:val="0"/>
                <w:u w:val="none"/>
              </w:rPr>
              <w:t>19,775,831.67</w:t>
            </w:r>
          </w:p>
        </w:tc>
        <w:tc>
          <w:tcPr>
            <w:tcW w:w="2431" w:type="dxa"/>
            <w:shd w:val="clear" w:color="auto" w:fill="auto"/>
            <w:vAlign w:val="center"/>
          </w:tcPr>
          <w:p>
            <w:pPr>
              <w:ind w:hanging="1"/>
              <w:jc w:val="right"/>
            </w:pPr>
            <w:r>
              <w:rPr>
                <w:rFonts w:hint="eastAsia"/>
                <w:b w:val="0"/>
                <w:i w:val="0"/>
                <w:strike w:val="0"/>
                <w:u w:val="none"/>
              </w:rPr>
              <w:t>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25乌鲁木齐银行CD128</w:t>
            </w:r>
          </w:p>
        </w:tc>
        <w:tc>
          <w:tcPr>
            <w:tcW w:w="2693" w:type="dxa"/>
            <w:shd w:val="clear" w:color="auto" w:fill="auto"/>
            <w:vAlign w:val="center"/>
          </w:tcPr>
          <w:p>
            <w:pPr>
              <w:ind w:hanging="1"/>
              <w:jc w:val="right"/>
            </w:pPr>
            <w:r>
              <w:rPr>
                <w:b w:val="0"/>
                <w:i w:val="0"/>
                <w:strike w:val="0"/>
                <w:u w:val="none"/>
              </w:rPr>
              <w:t>19,759,144.32</w:t>
            </w:r>
          </w:p>
        </w:tc>
        <w:tc>
          <w:tcPr>
            <w:tcW w:w="2431" w:type="dxa"/>
            <w:shd w:val="clear" w:color="auto" w:fill="auto"/>
            <w:vAlign w:val="center"/>
          </w:tcPr>
          <w:p>
            <w:pPr>
              <w:ind w:hanging="1"/>
              <w:jc w:val="right"/>
            </w:pPr>
            <w:r>
              <w:rPr>
                <w:rFonts w:hint="eastAsia"/>
                <w:b w:val="0"/>
                <w:i w:val="0"/>
                <w:strike w:val="0"/>
                <w:u w:val="none"/>
              </w:rPr>
              <w:t>2.31</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w:t>
      </w:r>
      <w:r>
        <w:rPr>
          <w:rFonts w:asciiTheme="majorEastAsia" w:hAnsiTheme="majorEastAsia" w:eastAsiaTheme="majorEastAsia"/>
          <w:b w:val="0"/>
          <w:i w:val="0"/>
          <w:strike w:val="0"/>
          <w:u w:val="none"/>
        </w:rPr>
        <w:t>蓉工31A1</w:t>
      </w:r>
      <w:r>
        <w:rPr>
          <w:rFonts w:hint="eastAsia" w:asciiTheme="minorEastAsia" w:hAnsiTheme="minorEastAsia" w:eastAsiaTheme="minorEastAsia"/>
          <w:szCs w:val="21"/>
        </w:rPr>
        <w:t>属于关联交易。</w:t>
      </w:r>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9F4712D"/>
    <w:rsid w:val="6C4D3C16"/>
    <w:rsid w:val="6CB6511A"/>
    <w:rsid w:val="72A65BBE"/>
    <w:rsid w:val="7E056026"/>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2</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2025-10-16T06:41:31Z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59F1CD4FA7AE46028ABB2AA8C449F130</vt:lpwstr>
  </property>
</Properties>
</file>