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四川银行定开系列1个月1号净值型理财产品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四川银行定开系列1个月1号净值型理财产品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971,573,458.00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四川银行-四川银行定开系列1个月1号净值型理财产品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lang w:val="en-US" w:eastAsia="zh-CN"/>
              </w:rPr>
              <w:t>招商银行</w:t>
            </w:r>
            <w:r>
              <w:rPr>
                <w:rFonts w:hint="eastAsia" w:ascii="宋体" w:hAnsi="宋体"/>
              </w:rPr>
              <w:t>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7.97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4,491,050.52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3,301,821.09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972,267,658.06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972,267,658.06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1.0797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807,055,475.86</w:t>
            </w:r>
          </w:p>
        </w:tc>
        <w:tc>
          <w:tcPr>
            <w:tcW w:w="1749" w:type="dxa"/>
            <w:shd w:val="clear" w:color="auto" w:fill="auto"/>
            <w:vAlign w:val="center"/>
          </w:tcPr>
          <w:p>
            <w:pPr>
              <w:jc w:val="right"/>
            </w:pPr>
            <w:r>
              <w:t>82.91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727,593,319.01</w:t>
            </w:r>
          </w:p>
        </w:tc>
        <w:tc>
          <w:tcPr>
            <w:tcW w:w="1749" w:type="dxa"/>
            <w:shd w:val="clear" w:color="auto" w:fill="auto"/>
            <w:vAlign w:val="center"/>
          </w:tcPr>
          <w:p>
            <w:pPr>
              <w:jc w:val="right"/>
            </w:pPr>
            <w:r>
              <w:t>74.75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79,462,156.85</w:t>
            </w:r>
          </w:p>
        </w:tc>
        <w:tc>
          <w:tcPr>
            <w:tcW w:w="1749" w:type="dxa"/>
            <w:shd w:val="clear" w:color="auto" w:fill="auto"/>
            <w:vAlign w:val="center"/>
          </w:tcPr>
          <w:p>
            <w:pPr>
              <w:jc w:val="right"/>
            </w:pPr>
            <w:r>
              <w:t>8.16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99,961,495.95</w:t>
            </w:r>
          </w:p>
        </w:tc>
        <w:tc>
          <w:tcPr>
            <w:tcW w:w="1749" w:type="dxa"/>
            <w:shd w:val="clear" w:color="auto" w:fill="auto"/>
            <w:vAlign w:val="center"/>
          </w:tcPr>
          <w:p>
            <w:pPr>
              <w:jc w:val="right"/>
            </w:pPr>
            <w:r>
              <w:t>10.27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66,020,634.48</w:t>
            </w:r>
          </w:p>
        </w:tc>
        <w:tc>
          <w:tcPr>
            <w:tcW w:w="1749" w:type="dxa"/>
            <w:shd w:val="clear" w:color="auto" w:fill="auto"/>
            <w:vAlign w:val="center"/>
          </w:tcPr>
          <w:p>
            <w:pPr>
              <w:jc w:val="right"/>
            </w:pPr>
            <w:r>
              <w:t>6.78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329,500.46</w:t>
            </w:r>
          </w:p>
        </w:tc>
        <w:tc>
          <w:tcPr>
            <w:tcW w:w="1749" w:type="dxa"/>
            <w:shd w:val="clear" w:color="auto" w:fill="auto"/>
            <w:vAlign w:val="center"/>
          </w:tcPr>
          <w:p>
            <w:pPr>
              <w:jc w:val="right"/>
            </w:pPr>
            <w:r>
              <w:t>0.03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973,367,106.75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100,000,200.00</w:t>
            </w:r>
          </w:p>
        </w:tc>
        <w:tc>
          <w:tcPr>
            <w:tcW w:w="2431" w:type="dxa"/>
            <w:shd w:val="clear" w:color="auto" w:fill="auto"/>
            <w:vAlign w:val="center"/>
          </w:tcPr>
          <w:p>
            <w:pPr>
              <w:jc w:val="right"/>
            </w:pPr>
            <w:bookmarkStart w:id="3" w:name="OLE_LINK6"/>
            <w:bookmarkEnd w:id="3"/>
            <w:bookmarkStart w:id="4" w:name="OLE_LINK5"/>
            <w:bookmarkEnd w:id="4"/>
            <w:r>
              <w:rPr>
                <w:rFonts w:hint="eastAsia"/>
              </w:rPr>
              <w:t>10.29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23川菜01</w:t>
            </w:r>
          </w:p>
        </w:tc>
        <w:tc>
          <w:tcPr>
            <w:tcW w:w="2693" w:type="dxa"/>
            <w:shd w:val="clear" w:color="auto" w:fill="auto"/>
            <w:vAlign w:val="center"/>
          </w:tcPr>
          <w:p>
            <w:pPr>
              <w:ind w:hanging="1"/>
              <w:jc w:val="right"/>
            </w:pPr>
            <w:r>
              <w:rPr>
                <w:b w:val="0"/>
                <w:i w:val="0"/>
                <w:strike w:val="0"/>
                <w:u w:val="none"/>
              </w:rPr>
              <w:t>40,892,109.59</w:t>
            </w:r>
          </w:p>
        </w:tc>
        <w:tc>
          <w:tcPr>
            <w:tcW w:w="2431" w:type="dxa"/>
            <w:shd w:val="clear" w:color="auto" w:fill="auto"/>
            <w:vAlign w:val="center"/>
          </w:tcPr>
          <w:p>
            <w:pPr>
              <w:ind w:hanging="1"/>
              <w:jc w:val="right"/>
            </w:pPr>
            <w:r>
              <w:rPr>
                <w:rFonts w:hint="eastAsia"/>
                <w:b w:val="0"/>
                <w:i w:val="0"/>
                <w:strike w:val="0"/>
                <w:u w:val="none"/>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蓉工31A1</w:t>
            </w:r>
          </w:p>
        </w:tc>
        <w:tc>
          <w:tcPr>
            <w:tcW w:w="2693" w:type="dxa"/>
            <w:shd w:val="clear" w:color="auto" w:fill="auto"/>
            <w:vAlign w:val="center"/>
          </w:tcPr>
          <w:p>
            <w:pPr>
              <w:ind w:hanging="1"/>
              <w:jc w:val="right"/>
            </w:pPr>
            <w:r>
              <w:rPr>
                <w:b w:val="0"/>
                <w:i w:val="0"/>
                <w:strike w:val="0"/>
                <w:u w:val="none"/>
              </w:rPr>
              <w:t>40,070,520.55</w:t>
            </w:r>
          </w:p>
        </w:tc>
        <w:tc>
          <w:tcPr>
            <w:tcW w:w="2431" w:type="dxa"/>
            <w:shd w:val="clear" w:color="auto" w:fill="auto"/>
            <w:vAlign w:val="center"/>
          </w:tcPr>
          <w:p>
            <w:pPr>
              <w:ind w:hanging="1"/>
              <w:jc w:val="right"/>
            </w:pPr>
            <w:r>
              <w:rPr>
                <w:rFonts w:hint="eastAsia"/>
                <w:b w:val="0"/>
                <w:i w:val="0"/>
                <w:strike w:val="0"/>
                <w:u w:val="none"/>
              </w:rPr>
              <w:t>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20,174,202.74</w:t>
            </w:r>
          </w:p>
        </w:tc>
        <w:tc>
          <w:tcPr>
            <w:tcW w:w="2431" w:type="dxa"/>
            <w:shd w:val="clear" w:color="auto" w:fill="auto"/>
            <w:vAlign w:val="center"/>
          </w:tcPr>
          <w:p>
            <w:pPr>
              <w:ind w:hanging="1"/>
              <w:jc w:val="right"/>
            </w:pPr>
            <w:r>
              <w:rPr>
                <w:rFonts w:hint="eastAsia"/>
                <w:b w:val="0"/>
                <w:i w:val="0"/>
                <w:strike w:val="0"/>
                <w:u w:val="none"/>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25唐山银行CD157</w:t>
            </w:r>
          </w:p>
        </w:tc>
        <w:tc>
          <w:tcPr>
            <w:tcW w:w="2693" w:type="dxa"/>
            <w:shd w:val="clear" w:color="auto" w:fill="auto"/>
            <w:vAlign w:val="center"/>
          </w:tcPr>
          <w:p>
            <w:pPr>
              <w:ind w:hanging="1"/>
              <w:jc w:val="right"/>
            </w:pPr>
            <w:r>
              <w:rPr>
                <w:b w:val="0"/>
                <w:i w:val="0"/>
                <w:strike w:val="0"/>
                <w:u w:val="none"/>
              </w:rPr>
              <w:t>19,895,660.76</w:t>
            </w:r>
          </w:p>
        </w:tc>
        <w:tc>
          <w:tcPr>
            <w:tcW w:w="2431" w:type="dxa"/>
            <w:shd w:val="clear" w:color="auto" w:fill="auto"/>
            <w:vAlign w:val="center"/>
          </w:tcPr>
          <w:p>
            <w:pPr>
              <w:ind w:hanging="1"/>
              <w:jc w:val="right"/>
            </w:pPr>
            <w:r>
              <w:rPr>
                <w:rFonts w:hint="eastAsia"/>
                <w:b w:val="0"/>
                <w:i w:val="0"/>
                <w:strike w:val="0"/>
                <w:u w:val="none"/>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25天津农村商业银行CD012</w:t>
            </w:r>
          </w:p>
        </w:tc>
        <w:tc>
          <w:tcPr>
            <w:tcW w:w="2693" w:type="dxa"/>
            <w:shd w:val="clear" w:color="auto" w:fill="auto"/>
            <w:vAlign w:val="center"/>
          </w:tcPr>
          <w:p>
            <w:pPr>
              <w:ind w:hanging="1"/>
              <w:jc w:val="right"/>
            </w:pPr>
            <w:r>
              <w:rPr>
                <w:b w:val="0"/>
                <w:i w:val="0"/>
                <w:strike w:val="0"/>
                <w:u w:val="none"/>
              </w:rPr>
              <w:t>19,856,611.43</w:t>
            </w:r>
          </w:p>
        </w:tc>
        <w:tc>
          <w:tcPr>
            <w:tcW w:w="2431" w:type="dxa"/>
            <w:shd w:val="clear" w:color="auto" w:fill="auto"/>
            <w:vAlign w:val="center"/>
          </w:tcPr>
          <w:p>
            <w:pPr>
              <w:ind w:hanging="1"/>
              <w:jc w:val="right"/>
            </w:pPr>
            <w:r>
              <w:rPr>
                <w:rFonts w:hint="eastAsia"/>
                <w:b w:val="0"/>
                <w:i w:val="0"/>
                <w:strike w:val="0"/>
                <w:u w:val="none"/>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25潍坊银行CD039</w:t>
            </w:r>
          </w:p>
        </w:tc>
        <w:tc>
          <w:tcPr>
            <w:tcW w:w="2693" w:type="dxa"/>
            <w:shd w:val="clear" w:color="auto" w:fill="auto"/>
            <w:vAlign w:val="center"/>
          </w:tcPr>
          <w:p>
            <w:pPr>
              <w:ind w:hanging="1"/>
              <w:jc w:val="right"/>
            </w:pPr>
            <w:r>
              <w:rPr>
                <w:b w:val="0"/>
                <w:i w:val="0"/>
                <w:strike w:val="0"/>
                <w:u w:val="none"/>
              </w:rPr>
              <w:t>19,847,012.15</w:t>
            </w:r>
          </w:p>
        </w:tc>
        <w:tc>
          <w:tcPr>
            <w:tcW w:w="2431" w:type="dxa"/>
            <w:shd w:val="clear" w:color="auto" w:fill="auto"/>
            <w:vAlign w:val="center"/>
          </w:tcPr>
          <w:p>
            <w:pPr>
              <w:ind w:hanging="1"/>
              <w:jc w:val="right"/>
            </w:pPr>
            <w:r>
              <w:rPr>
                <w:rFonts w:hint="eastAsia"/>
                <w:b w:val="0"/>
                <w:i w:val="0"/>
                <w:strike w:val="0"/>
                <w:u w:val="none"/>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25贵阳银行CD065</w:t>
            </w:r>
          </w:p>
        </w:tc>
        <w:tc>
          <w:tcPr>
            <w:tcW w:w="2693" w:type="dxa"/>
            <w:shd w:val="clear" w:color="auto" w:fill="auto"/>
            <w:vAlign w:val="center"/>
          </w:tcPr>
          <w:p>
            <w:pPr>
              <w:ind w:hanging="1"/>
              <w:jc w:val="right"/>
            </w:pPr>
            <w:r>
              <w:rPr>
                <w:b w:val="0"/>
                <w:i w:val="0"/>
                <w:strike w:val="0"/>
                <w:u w:val="none"/>
              </w:rPr>
              <w:t>19,775,831.67</w:t>
            </w:r>
          </w:p>
        </w:tc>
        <w:tc>
          <w:tcPr>
            <w:tcW w:w="2431" w:type="dxa"/>
            <w:shd w:val="clear" w:color="auto" w:fill="auto"/>
            <w:vAlign w:val="center"/>
          </w:tcPr>
          <w:p>
            <w:pPr>
              <w:ind w:hanging="1"/>
              <w:jc w:val="right"/>
            </w:pPr>
            <w:r>
              <w:rPr>
                <w:rFonts w:hint="eastAsia"/>
                <w:b w:val="0"/>
                <w:i w:val="0"/>
                <w:strike w:val="0"/>
                <w:u w:val="none"/>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25重庆三峡银行CD037</w:t>
            </w:r>
          </w:p>
        </w:tc>
        <w:tc>
          <w:tcPr>
            <w:tcW w:w="2693" w:type="dxa"/>
            <w:shd w:val="clear" w:color="auto" w:fill="auto"/>
            <w:vAlign w:val="center"/>
          </w:tcPr>
          <w:p>
            <w:pPr>
              <w:ind w:hanging="1"/>
              <w:jc w:val="right"/>
            </w:pPr>
            <w:r>
              <w:rPr>
                <w:b w:val="0"/>
                <w:i w:val="0"/>
                <w:strike w:val="0"/>
                <w:u w:val="none"/>
              </w:rPr>
              <w:t>19,760,318.36</w:t>
            </w:r>
          </w:p>
        </w:tc>
        <w:tc>
          <w:tcPr>
            <w:tcW w:w="2431" w:type="dxa"/>
            <w:shd w:val="clear" w:color="auto" w:fill="auto"/>
            <w:vAlign w:val="center"/>
          </w:tcPr>
          <w:p>
            <w:pPr>
              <w:ind w:hanging="1"/>
              <w:jc w:val="right"/>
            </w:pPr>
            <w:r>
              <w:rPr>
                <w:rFonts w:hint="eastAsia"/>
                <w:b w:val="0"/>
                <w:i w:val="0"/>
                <w:strike w:val="0"/>
                <w:u w:val="none"/>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25天津农村商业银行CD102</w:t>
            </w:r>
          </w:p>
        </w:tc>
        <w:tc>
          <w:tcPr>
            <w:tcW w:w="2693" w:type="dxa"/>
            <w:shd w:val="clear" w:color="auto" w:fill="auto"/>
            <w:vAlign w:val="center"/>
          </w:tcPr>
          <w:p>
            <w:pPr>
              <w:ind w:hanging="1"/>
              <w:jc w:val="right"/>
            </w:pPr>
            <w:r>
              <w:rPr>
                <w:b w:val="0"/>
                <w:i w:val="0"/>
                <w:strike w:val="0"/>
                <w:u w:val="none"/>
              </w:rPr>
              <w:t>19,751,657.73</w:t>
            </w:r>
          </w:p>
        </w:tc>
        <w:tc>
          <w:tcPr>
            <w:tcW w:w="2431" w:type="dxa"/>
            <w:shd w:val="clear" w:color="auto" w:fill="auto"/>
            <w:vAlign w:val="center"/>
          </w:tcPr>
          <w:p>
            <w:pPr>
              <w:ind w:hanging="1"/>
              <w:jc w:val="right"/>
            </w:pPr>
            <w:r>
              <w:rPr>
                <w:rFonts w:hint="eastAsia"/>
                <w:b w:val="0"/>
                <w:i w:val="0"/>
                <w:strike w:val="0"/>
                <w:u w:val="none"/>
              </w:rPr>
              <w:t>2.03</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rPr>
          <w:rFonts w:asciiTheme="minorEastAsia" w:hAnsiTheme="minorEastAsia" w:eastAsiaTheme="minorEastAsia"/>
          <w:szCs w:val="21"/>
          <w:highlight w:val="none"/>
        </w:rPr>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蓉工31A1</w:t>
      </w:r>
      <w:r>
        <w:rPr>
          <w:rFonts w:hint="eastAsia" w:asciiTheme="minorEastAsia" w:hAnsiTheme="minorEastAsia" w:eastAsiaTheme="minorEastAsia"/>
          <w:szCs w:val="21"/>
        </w:rPr>
        <w:t>属于关联交易。</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04861"/>
    <w:rsid w:val="21AF23DE"/>
    <w:rsid w:val="250932D9"/>
    <w:rsid w:val="30D863E3"/>
    <w:rsid w:val="329719B6"/>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2025-10-16T06:37:16Z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164B29BA119B478284B78E692E58A353</vt:lpwstr>
  </property>
</Properties>
</file>