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C5" w:rsidRDefault="00FD14C5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</w:pPr>
      <w:proofErr w:type="gramStart"/>
      <w:r w:rsidRPr="00FD14C5"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川银系列</w:t>
      </w:r>
      <w:proofErr w:type="gramEnd"/>
      <w:r w:rsidRPr="00FD14C5"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“美日利”人民币理财产品</w:t>
      </w:r>
    </w:p>
    <w:p w:rsidR="009F09CA" w:rsidRDefault="00FD14C5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b/>
          <w:color w:val="000000"/>
          <w:kern w:val="0"/>
          <w:sz w:val="36"/>
          <w:szCs w:val="20"/>
        </w:rPr>
        <w:t>2024年1</w:t>
      </w:r>
      <w:r w:rsidR="002F7C9A">
        <w:rPr>
          <w:rFonts w:ascii="仿宋" w:eastAsia="仿宋" w:hAnsi="仿宋" w:cs="Times New Roman"/>
          <w:b/>
          <w:color w:val="000000"/>
          <w:kern w:val="0"/>
          <w:sz w:val="36"/>
          <w:szCs w:val="20"/>
        </w:rPr>
        <w:t>季度报告</w:t>
      </w:r>
    </w:p>
    <w:p w:rsidR="009F09CA" w:rsidRDefault="002F7C9A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-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</w:p>
    <w:p w:rsidR="009F09CA" w:rsidRDefault="009F09CA">
      <w:pPr>
        <w:jc w:val="center"/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F09CA" w:rsidRDefault="002F7C9A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 xml:space="preserve">§1  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重要提示</w:t>
      </w: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产品管理人保证本报告所载资料不存在虚假记载、误导性陈述或重大遗漏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,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并对其内容的真实性、准确性和完整性承担个别及连带责任。</w:t>
      </w: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产品托管人中国工商银行股份有限公司，已复核了本报告中的财务指标、净值表现和投资组合报告等内容，保证复核内容不存在虚假记载、误导性陈述或者重大遗漏。</w:t>
      </w: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br/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本报告中财务资料未经审计。</w:t>
      </w:r>
    </w:p>
    <w:p w:rsidR="009F09CA" w:rsidRDefault="009F09C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F09CA" w:rsidRDefault="002F7C9A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本报告期自起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至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2024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0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0"/>
          <w:szCs w:val="20"/>
        </w:rPr>
        <w:t>日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止。</w:t>
      </w:r>
    </w:p>
    <w:p w:rsidR="009F09CA" w:rsidRDefault="009F09CA">
      <w:pPr>
        <w:widowControl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9F09CA" w:rsidRDefault="002F7C9A">
      <w:pPr>
        <w:widowControl/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§2  </w:t>
      </w:r>
      <w:r>
        <w:rPr>
          <w:rFonts w:ascii="仿宋" w:eastAsia="仿宋" w:hAnsi="仿宋"/>
          <w:b/>
          <w:color w:val="000000"/>
          <w:sz w:val="24"/>
        </w:rPr>
        <w:t>产品概况</w:t>
      </w:r>
    </w:p>
    <w:p w:rsidR="009F09CA" w:rsidRDefault="009F09CA">
      <w:pPr>
        <w:widowControl/>
        <w:jc w:val="center"/>
        <w:rPr>
          <w:rFonts w:ascii="仿宋" w:eastAsia="仿宋" w:hAnsi="仿宋"/>
          <w:b/>
          <w:color w:val="000000"/>
          <w:sz w:val="24"/>
          <w:lang w:eastAsia="en-US"/>
        </w:rPr>
      </w:pPr>
    </w:p>
    <w:tbl>
      <w:tblPr>
        <w:tblW w:w="75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5677"/>
      </w:tblGrid>
      <w:tr w:rsidR="009F09CA">
        <w:trPr>
          <w:trHeight w:val="319"/>
          <w:jc w:val="center"/>
        </w:trPr>
        <w:tc>
          <w:tcPr>
            <w:tcW w:w="1867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产品名称</w:t>
            </w:r>
          </w:p>
        </w:tc>
        <w:tc>
          <w:tcPr>
            <w:tcW w:w="5677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4"/>
              </w:rPr>
              <w:t>川银系列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</w:rPr>
              <w:t>“美日利”</w:t>
            </w:r>
            <w:r>
              <w:rPr>
                <w:rFonts w:ascii="仿宋" w:eastAsia="仿宋" w:hAnsi="仿宋"/>
                <w:color w:val="000000"/>
                <w:sz w:val="24"/>
              </w:rPr>
              <w:t>人民币理财产品</w:t>
            </w:r>
          </w:p>
        </w:tc>
      </w:tr>
      <w:tr w:rsidR="009F09CA">
        <w:trPr>
          <w:trHeight w:val="32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产品登记编码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C1079020000071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非保本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净值型理财产品</w:t>
            </w:r>
          </w:p>
        </w:tc>
      </w:tr>
      <w:tr w:rsidR="009F09CA">
        <w:trPr>
          <w:trHeight w:val="52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报告期末产品存续规模（份）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textAlignment w:val="top"/>
              <w:rPr>
                <w:rFonts w:eastAsia="宋体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2,846,987,075.51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收益类型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非保本浮动收益型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发行方式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公募</w:t>
            </w:r>
          </w:p>
        </w:tc>
      </w:tr>
      <w:tr w:rsidR="009F09CA">
        <w:trPr>
          <w:trHeight w:val="1407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投资范围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spacing w:before="199" w:after="199"/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100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%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投资于期限在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年以内（含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年）的银行活期存款及银行定期存款、债券回购、中央银行票据、同业存单，剩余期限在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397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天以内（含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397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天）的债券、在银行间市场和证券交易所市场发行的资产支持证券，以及银保监会、中国人民银行认可的其他具有良好流动性的货币市场工具。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产品成立日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2020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   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产品终止日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119</w:t>
            </w:r>
            <w:r>
              <w:rPr>
                <w:rFonts w:ascii="仿宋" w:eastAsia="仿宋" w:hAnsi="仿宋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9</w:t>
            </w:r>
            <w:r>
              <w:rPr>
                <w:rFonts w:ascii="仿宋" w:eastAsia="仿宋" w:hAnsi="仿宋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</w:rPr>
              <w:t>日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杠杆水平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eastAsia="仿宋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110.60%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风险等级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eastAsia="宋体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级：低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  <w:szCs w:val="22"/>
              </w:rPr>
              <w:t>产品管理人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四川银行股份有限公司</w:t>
            </w:r>
          </w:p>
        </w:tc>
      </w:tr>
      <w:tr w:rsidR="009F09CA">
        <w:trPr>
          <w:trHeight w:val="282"/>
          <w:jc w:val="center"/>
        </w:trPr>
        <w:tc>
          <w:tcPr>
            <w:tcW w:w="1867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lastRenderedPageBreak/>
              <w:t>产品托管人</w:t>
            </w:r>
          </w:p>
        </w:tc>
        <w:tc>
          <w:tcPr>
            <w:tcW w:w="5677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jc w:val="left"/>
            </w:pPr>
            <w:r>
              <w:rPr>
                <w:rFonts w:ascii="仿宋" w:eastAsia="仿宋" w:hAnsi="仿宋"/>
                <w:color w:val="000000"/>
                <w:sz w:val="24"/>
              </w:rPr>
              <w:t>中国工商银行股份有限公司</w:t>
            </w:r>
          </w:p>
        </w:tc>
      </w:tr>
    </w:tbl>
    <w:p w:rsidR="009F09CA" w:rsidRDefault="009F09CA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F09CA" w:rsidRDefault="009F09CA">
      <w:pPr>
        <w:rPr>
          <w:rFonts w:ascii="仿宋" w:eastAsia="仿宋" w:hAnsi="仿宋" w:cs="Times New Roman"/>
          <w:color w:val="000000"/>
          <w:kern w:val="0"/>
          <w:sz w:val="20"/>
          <w:szCs w:val="20"/>
        </w:rPr>
      </w:pPr>
    </w:p>
    <w:p w:rsidR="009F09CA" w:rsidRDefault="002F7C9A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§3  </w:t>
      </w:r>
      <w:r>
        <w:rPr>
          <w:rFonts w:ascii="仿宋" w:eastAsia="仿宋" w:hAnsi="仿宋"/>
          <w:b/>
          <w:color w:val="000000"/>
          <w:sz w:val="24"/>
        </w:rPr>
        <w:t>产品业绩表现</w:t>
      </w:r>
    </w:p>
    <w:p w:rsidR="009F09CA" w:rsidRDefault="002F7C9A">
      <w:pPr>
        <w:jc w:val="righ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单位：人民币元</w:t>
      </w:r>
    </w:p>
    <w:p w:rsidR="009F09CA" w:rsidRDefault="009F09CA">
      <w:pPr>
        <w:jc w:val="right"/>
        <w:rPr>
          <w:rFonts w:ascii="仿宋" w:eastAsia="仿宋" w:hAnsi="仿宋"/>
          <w:color w:val="000000"/>
          <w:sz w:val="24"/>
        </w:rPr>
      </w:pPr>
    </w:p>
    <w:tbl>
      <w:tblPr>
        <w:tblpPr w:leftFromText="180" w:rightFromText="180" w:vertAnchor="text" w:horzAnchor="page" w:tblpXSpec="center" w:tblpY="-17"/>
        <w:tblOverlap w:val="never"/>
        <w:tblW w:w="89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5890"/>
      </w:tblGrid>
      <w:tr w:rsidR="009F09CA">
        <w:trPr>
          <w:trHeight w:val="282"/>
          <w:jc w:val="center"/>
        </w:trPr>
        <w:tc>
          <w:tcPr>
            <w:tcW w:w="3080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主要财务指标</w:t>
            </w:r>
            <w:proofErr w:type="spellEnd"/>
          </w:p>
        </w:tc>
        <w:tc>
          <w:tcPr>
            <w:tcW w:w="589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报告期（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日至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2024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31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日）</w:t>
            </w:r>
          </w:p>
        </w:tc>
      </w:tr>
      <w:tr w:rsidR="009F09CA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1.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期末产品资产净值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textAlignment w:val="top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2,846,987,075.51</w:t>
            </w:r>
          </w:p>
        </w:tc>
      </w:tr>
      <w:tr w:rsidR="009F09CA">
        <w:trPr>
          <w:trHeight w:val="282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2.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0"/>
                <w:lang w:eastAsia="en-US"/>
              </w:rPr>
              <w:t>期末产品份额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2"/>
              </w:rPr>
              <w:t>2,846,987,075.51</w:t>
            </w:r>
          </w:p>
        </w:tc>
      </w:tr>
      <w:tr w:rsidR="009F09CA">
        <w:trPr>
          <w:trHeight w:val="305"/>
          <w:jc w:val="center"/>
        </w:trPr>
        <w:tc>
          <w:tcPr>
            <w:tcW w:w="3080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3.</w:t>
            </w:r>
            <w:r>
              <w:rPr>
                <w:rFonts w:ascii="仿宋" w:eastAsia="仿宋" w:hAnsi="仿宋" w:cs="Times New Roman"/>
                <w:b/>
                <w:color w:val="000000"/>
                <w:kern w:val="0"/>
                <w:sz w:val="24"/>
                <w:szCs w:val="22"/>
              </w:rPr>
              <w:t>期末产品份额净值</w:t>
            </w:r>
          </w:p>
        </w:tc>
        <w:tc>
          <w:tcPr>
            <w:tcW w:w="589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1.0000</w:t>
            </w:r>
          </w:p>
        </w:tc>
      </w:tr>
    </w:tbl>
    <w:p w:rsidR="009F09CA" w:rsidRDefault="009F09CA">
      <w:pPr>
        <w:jc w:val="left"/>
        <w:rPr>
          <w:rFonts w:ascii="仿宋" w:eastAsia="仿宋" w:hAnsi="仿宋"/>
          <w:color w:val="000000"/>
          <w:sz w:val="24"/>
          <w:lang w:eastAsia="en-US"/>
        </w:rPr>
      </w:pPr>
    </w:p>
    <w:p w:rsidR="009F09CA" w:rsidRDefault="002F7C9A">
      <w:pPr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报告期内保持对市场的密切关注，运用多种方式为客户创造收益，</w:t>
      </w:r>
      <w:r>
        <w:rPr>
          <w:rFonts w:ascii="仿宋" w:eastAsia="仿宋" w:hAnsi="仿宋" w:hint="eastAsia"/>
          <w:color w:val="000000"/>
          <w:sz w:val="24"/>
        </w:rPr>
        <w:t>季度</w:t>
      </w:r>
      <w:proofErr w:type="gramStart"/>
      <w:r>
        <w:rPr>
          <w:rFonts w:ascii="仿宋" w:eastAsia="仿宋" w:hAnsi="仿宋" w:hint="eastAsia"/>
          <w:color w:val="000000"/>
          <w:sz w:val="24"/>
        </w:rPr>
        <w:t>末产品</w:t>
      </w:r>
      <w:proofErr w:type="gramEnd"/>
      <w:r>
        <w:rPr>
          <w:rFonts w:ascii="仿宋" w:eastAsia="仿宋" w:hAnsi="仿宋" w:hint="eastAsia"/>
          <w:color w:val="000000"/>
          <w:sz w:val="24"/>
        </w:rPr>
        <w:t>基金单位当日</w:t>
      </w:r>
      <w:r>
        <w:rPr>
          <w:rFonts w:ascii="仿宋" w:eastAsia="仿宋" w:hAnsi="仿宋" w:hint="eastAsia"/>
          <w:color w:val="000000"/>
          <w:sz w:val="24"/>
        </w:rPr>
        <w:t>收益为</w:t>
      </w:r>
      <w:r>
        <w:rPr>
          <w:rFonts w:ascii="仿宋" w:eastAsia="仿宋" w:hAnsi="仿宋" w:hint="eastAsia"/>
          <w:color w:val="000000"/>
          <w:sz w:val="24"/>
        </w:rPr>
        <w:t>0.6769</w:t>
      </w:r>
      <w:r>
        <w:rPr>
          <w:rFonts w:ascii="仿宋" w:eastAsia="仿宋" w:hAnsi="仿宋" w:hint="eastAsia"/>
          <w:color w:val="000000"/>
          <w:sz w:val="24"/>
        </w:rPr>
        <w:t>，七日年化为</w:t>
      </w:r>
      <w:r>
        <w:rPr>
          <w:rFonts w:ascii="仿宋" w:eastAsia="仿宋" w:hAnsi="仿宋" w:hint="eastAsia"/>
          <w:color w:val="000000"/>
          <w:sz w:val="24"/>
        </w:rPr>
        <w:t>2.4231</w:t>
      </w:r>
      <w:r>
        <w:rPr>
          <w:rFonts w:ascii="仿宋" w:eastAsia="仿宋" w:hAnsi="仿宋"/>
          <w:color w:val="000000"/>
          <w:sz w:val="24"/>
        </w:rPr>
        <w:t>。</w:t>
      </w:r>
    </w:p>
    <w:p w:rsidR="009F09CA" w:rsidRDefault="009F09CA">
      <w:pPr>
        <w:jc w:val="left"/>
        <w:rPr>
          <w:rFonts w:ascii="仿宋" w:eastAsia="仿宋" w:hAnsi="仿宋"/>
          <w:color w:val="000000"/>
          <w:sz w:val="24"/>
        </w:rPr>
      </w:pPr>
    </w:p>
    <w:p w:rsidR="009F09CA" w:rsidRDefault="002F7C9A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§4  </w:t>
      </w:r>
      <w:r>
        <w:rPr>
          <w:rFonts w:ascii="仿宋" w:eastAsia="仿宋" w:hAnsi="仿宋"/>
          <w:b/>
          <w:color w:val="000000"/>
          <w:sz w:val="24"/>
        </w:rPr>
        <w:t>产品投资策略和运作分析</w:t>
      </w:r>
    </w:p>
    <w:p w:rsidR="009F09CA" w:rsidRDefault="009F09CA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 xml:space="preserve">4.1 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报告期内产品投资策略和运作分析</w:t>
      </w:r>
    </w:p>
    <w:p w:rsidR="009F09CA" w:rsidRDefault="009F09C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产品设立严格符合</w:t>
      </w:r>
      <w:proofErr w:type="gramStart"/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资管新规</w:t>
      </w:r>
      <w:proofErr w:type="gramEnd"/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要求，投资策略为持有到期。产品自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2020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9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月成立以来，累计管理规模</w:t>
      </w:r>
      <w:r>
        <w:rPr>
          <w:rFonts w:ascii="仿宋" w:eastAsia="仿宋" w:hAnsi="仿宋" w:cs="Times New Roman"/>
          <w:kern w:val="0"/>
          <w:sz w:val="24"/>
          <w:szCs w:val="22"/>
        </w:rPr>
        <w:t>2,846,987,075.51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元，截止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2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024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年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3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月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31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日，净值</w:t>
      </w:r>
      <w:r>
        <w:rPr>
          <w:rFonts w:ascii="仿宋" w:eastAsia="仿宋" w:hAnsi="仿宋" w:cs="Times New Roman"/>
          <w:kern w:val="0"/>
          <w:sz w:val="24"/>
          <w:szCs w:val="22"/>
        </w:rPr>
        <w:t>2,846,987,075.51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。</w:t>
      </w:r>
    </w:p>
    <w:p w:rsidR="009F09CA" w:rsidRDefault="009F09C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4.2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报告期内产品主要投资风险</w:t>
      </w:r>
    </w:p>
    <w:p w:rsidR="009F09CA" w:rsidRDefault="009F09C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 </w:t>
      </w: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>产品的投资品种价格受经济因素、政治因素、投资心理和交易制度等各种因素影响而波动，导致收益水平变化产生风险。主要包括：政策风险、经济周期风险、利率风险、信用风险、再投资风险等。</w:t>
      </w:r>
    </w:p>
    <w:p w:rsidR="009F09CA" w:rsidRDefault="009F09C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4.3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</w:rPr>
        <w:t>产品流动性风险分析</w:t>
      </w:r>
    </w:p>
    <w:p w:rsidR="009F09CA" w:rsidRDefault="002F7C9A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仿宋" w:eastAsia="仿宋" w:hAnsi="仿宋" w:cs="Times New Roman"/>
          <w:color w:val="000000"/>
          <w:kern w:val="0"/>
          <w:sz w:val="24"/>
          <w:szCs w:val="20"/>
        </w:rPr>
        <w:t xml:space="preserve">    </w:t>
      </w:r>
    </w:p>
    <w:p w:rsidR="009F09CA" w:rsidRDefault="00E8697A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本产品主</w:t>
      </w:r>
      <w:r w:rsidR="002F7C9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要投资范围为标准化资产，并保有一定流动性储备，整体流动性风险可控</w:t>
      </w:r>
      <w:bookmarkStart w:id="0" w:name="_GoBack"/>
      <w:bookmarkEnd w:id="0"/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。本产品通过额度控制、</w:t>
      </w:r>
      <w:r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动态监测</w:t>
      </w:r>
      <w:r w:rsidRPr="00E8697A">
        <w:rPr>
          <w:rFonts w:ascii="仿宋" w:eastAsia="仿宋" w:hAnsi="仿宋" w:cs="Times New Roman" w:hint="eastAsia"/>
          <w:color w:val="000000"/>
          <w:kern w:val="0"/>
          <w:sz w:val="24"/>
          <w:szCs w:val="20"/>
        </w:rPr>
        <w:t>、正回购及变现高流动性资产的方式应对流动性风险。具体包括：一是跟踪资金申购赎回情况，提前备付流动资金；二是根据产品的期限，合理安排投资资产剩余期限，预防流动性风险；三是产品持有一定比例的高流动性资产，赎回前主要通过储备的流动性或卖出资产变现，满足产品的流动性需求。</w:t>
      </w:r>
    </w:p>
    <w:p w:rsidR="009F09CA" w:rsidRDefault="009F09CA">
      <w:pPr>
        <w:ind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0"/>
        </w:rPr>
      </w:pPr>
    </w:p>
    <w:p w:rsidR="009F09CA" w:rsidRDefault="002F7C9A">
      <w:pPr>
        <w:jc w:val="center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§5 </w:t>
      </w:r>
      <w:r>
        <w:rPr>
          <w:rFonts w:ascii="仿宋" w:eastAsia="仿宋" w:hAnsi="仿宋"/>
          <w:b/>
          <w:color w:val="000000"/>
          <w:sz w:val="24"/>
        </w:rPr>
        <w:t>投资组合报告</w:t>
      </w:r>
    </w:p>
    <w:p w:rsidR="009F09CA" w:rsidRDefault="009F09CA">
      <w:pPr>
        <w:jc w:val="center"/>
        <w:rPr>
          <w:rFonts w:ascii="仿宋" w:eastAsia="仿宋" w:hAnsi="仿宋"/>
          <w:b/>
          <w:color w:val="000000"/>
          <w:sz w:val="24"/>
        </w:rPr>
      </w:pPr>
    </w:p>
    <w:p w:rsidR="009F09CA" w:rsidRDefault="002F7C9A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5.1 </w:t>
      </w:r>
      <w:r>
        <w:rPr>
          <w:rFonts w:ascii="仿宋" w:eastAsia="仿宋" w:hAnsi="仿宋"/>
          <w:b/>
          <w:color w:val="000000"/>
          <w:sz w:val="24"/>
        </w:rPr>
        <w:t>产品投资资产种类</w:t>
      </w:r>
    </w:p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3320"/>
        <w:gridCol w:w="2919"/>
        <w:gridCol w:w="2385"/>
      </w:tblGrid>
      <w:tr w:rsidR="009F09CA">
        <w:trPr>
          <w:trHeight w:val="282"/>
        </w:trPr>
        <w:tc>
          <w:tcPr>
            <w:tcW w:w="689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3320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项目</w:t>
            </w:r>
            <w:proofErr w:type="spellEnd"/>
          </w:p>
        </w:tc>
        <w:tc>
          <w:tcPr>
            <w:tcW w:w="291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385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产品总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固定收益投资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2,585,935,401.22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82.13</w:t>
            </w: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其中：债券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>2,585,935,401.22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82.13</w:t>
            </w: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3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3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资产支持证券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4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4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权益投资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5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5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其中：股票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6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6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基金投资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7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7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信托投资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8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8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金融衍生品投资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9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9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买入返售金融资产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390,141,579.17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12.39</w:t>
            </w: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10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10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其中：买断式回购的买入返售金融资产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11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11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银行存款和结算备付金合计</w:t>
            </w:r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172,643,538.81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5.48</w:t>
            </w: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12</w:t>
            </w: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numPr>
                <w:ilvl w:val="0"/>
                <w:numId w:val="12"/>
              </w:numPr>
              <w:ind w:left="720" w:hanging="36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其他资产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</w:p>
        </w:tc>
      </w:tr>
      <w:tr w:rsidR="009F09CA">
        <w:trPr>
          <w:trHeight w:val="282"/>
        </w:trPr>
        <w:tc>
          <w:tcPr>
            <w:tcW w:w="689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9F09C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总计</w:t>
            </w:r>
            <w:proofErr w:type="spellEnd"/>
          </w:p>
        </w:tc>
        <w:tc>
          <w:tcPr>
            <w:tcW w:w="291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3,148,720,519.20</w:t>
            </w:r>
          </w:p>
        </w:tc>
        <w:tc>
          <w:tcPr>
            <w:tcW w:w="2385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2"/>
              </w:rPr>
              <w:t>100.00</w:t>
            </w:r>
          </w:p>
        </w:tc>
      </w:tr>
    </w:tbl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F09CA" w:rsidRDefault="002F7C9A">
      <w:pPr>
        <w:jc w:val="left"/>
        <w:rPr>
          <w:rFonts w:ascii="仿宋" w:eastAsia="仿宋" w:hAnsi="仿宋"/>
          <w:b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 xml:space="preserve">5.2 </w:t>
      </w:r>
      <w:r>
        <w:rPr>
          <w:rFonts w:ascii="仿宋" w:eastAsia="仿宋" w:hAnsi="仿宋"/>
          <w:b/>
          <w:color w:val="000000"/>
          <w:sz w:val="24"/>
        </w:rPr>
        <w:t>前十大资产持仓情况</w:t>
      </w:r>
    </w:p>
    <w:tbl>
      <w:tblPr>
        <w:tblW w:w="93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2129"/>
        <w:gridCol w:w="1991"/>
        <w:gridCol w:w="2203"/>
        <w:gridCol w:w="2366"/>
      </w:tblGrid>
      <w:tr w:rsidR="009F09CA">
        <w:trPr>
          <w:trHeight w:val="282"/>
        </w:trPr>
        <w:tc>
          <w:tcPr>
            <w:tcW w:w="638" w:type="dxa"/>
            <w:tcBorders>
              <w:top w:val="double" w:sz="2" w:space="0" w:color="000000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序号</w:t>
            </w:r>
            <w:proofErr w:type="spellEnd"/>
          </w:p>
        </w:tc>
        <w:tc>
          <w:tcPr>
            <w:tcW w:w="2129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资产名称</w:t>
            </w:r>
            <w:proofErr w:type="spellEnd"/>
          </w:p>
        </w:tc>
        <w:tc>
          <w:tcPr>
            <w:tcW w:w="1991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资产面值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  <w:tc>
          <w:tcPr>
            <w:tcW w:w="2203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资产公允价值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元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）</w:t>
            </w:r>
          </w:p>
        </w:tc>
        <w:tc>
          <w:tcPr>
            <w:tcW w:w="2366" w:type="dxa"/>
            <w:tcBorders>
              <w:top w:val="double" w:sz="2" w:space="0" w:color="000000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占</w:t>
            </w: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产品净</w:t>
            </w:r>
            <w:proofErr w:type="spellStart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资产比例</w:t>
            </w:r>
            <w:proofErr w:type="spellEnd"/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(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%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)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吉林银行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CD008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100,000,000.00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98,665,400.00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3.47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eastAsia="en-US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  <w:lang w:eastAsia="en-US"/>
              </w:rPr>
              <w:t>2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交通银行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CD058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90,000,000.00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89,815,410.00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3.15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23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天津农村商业银行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CD214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69,798,540.00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2.45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23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贵州银行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CD045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69,737,290.00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2.45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兰州银行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CD014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70,000,000.00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69,502,930.00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2.44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湖南银行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CD008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59,606,400.00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2.09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贵阳银行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CD021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60,000,000.00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58,797,180.00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2.07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23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天津农村商业银行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CD155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49,954,300.00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24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上海银行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CD044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49,950,250.00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</w:tr>
      <w:tr w:rsidR="009F09CA">
        <w:trPr>
          <w:trHeight w:val="282"/>
        </w:trPr>
        <w:tc>
          <w:tcPr>
            <w:tcW w:w="638" w:type="dxa"/>
            <w:tcBorders>
              <w:top w:val="single" w:sz="6" w:space="0" w:color="D3D3D3"/>
              <w:left w:val="double" w:sz="2" w:space="0" w:color="000000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2129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23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青岛农商行</w:t>
            </w: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0"/>
              </w:rPr>
              <w:t>CD099</w:t>
            </w:r>
          </w:p>
        </w:tc>
        <w:tc>
          <w:tcPr>
            <w:tcW w:w="1991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single" w:sz="6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50,000,000.00</w:t>
            </w:r>
          </w:p>
        </w:tc>
        <w:tc>
          <w:tcPr>
            <w:tcW w:w="2203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:rsidR="009F09CA" w:rsidRDefault="002F7C9A">
            <w:pPr>
              <w:widowControl/>
              <w:jc w:val="center"/>
              <w:textAlignment w:val="top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  <w:t>49,947,650.00</w:t>
            </w:r>
          </w:p>
        </w:tc>
        <w:tc>
          <w:tcPr>
            <w:tcW w:w="2366" w:type="dxa"/>
            <w:tcBorders>
              <w:top w:val="single" w:sz="6" w:space="0" w:color="D3D3D3"/>
              <w:left w:val="single" w:sz="6" w:space="0" w:color="D3D3D3"/>
              <w:bottom w:val="double" w:sz="2" w:space="0" w:color="000000"/>
              <w:right w:val="double" w:sz="2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9F09CA" w:rsidRDefault="002F7C9A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1.75</w:t>
            </w:r>
          </w:p>
        </w:tc>
      </w:tr>
    </w:tbl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F09CA" w:rsidRDefault="002F7C9A">
      <w:pPr>
        <w:widowControl/>
        <w:jc w:val="center"/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</w:pP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§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6</w:t>
      </w:r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 xml:space="preserve"> </w:t>
      </w:r>
      <w:r>
        <w:rPr>
          <w:rFonts w:ascii="仿宋" w:eastAsia="仿宋" w:hAnsi="仿宋" w:cs="Times New Roman" w:hint="eastAsia"/>
          <w:b/>
          <w:color w:val="000000"/>
          <w:kern w:val="0"/>
          <w:sz w:val="24"/>
          <w:szCs w:val="20"/>
        </w:rPr>
        <w:t>托管人</w:t>
      </w:r>
      <w:proofErr w:type="spellStart"/>
      <w:r>
        <w:rPr>
          <w:rFonts w:ascii="仿宋" w:eastAsia="仿宋" w:hAnsi="仿宋" w:cs="Times New Roman"/>
          <w:b/>
          <w:color w:val="000000"/>
          <w:kern w:val="0"/>
          <w:sz w:val="24"/>
          <w:szCs w:val="20"/>
          <w:lang w:eastAsia="en-US"/>
        </w:rPr>
        <w:t>报告</w:t>
      </w:r>
      <w:proofErr w:type="spellEnd"/>
    </w:p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  <w:lang w:eastAsia="en-US"/>
        </w:rPr>
      </w:pPr>
    </w:p>
    <w:p w:rsidR="009F09CA" w:rsidRDefault="002F7C9A">
      <w:pPr>
        <w:widowControl/>
        <w:spacing w:line="360" w:lineRule="auto"/>
        <w:ind w:firstLineChars="100" w:firstLine="240"/>
        <w:jc w:val="left"/>
        <w:rPr>
          <w:rFonts w:ascii="仿宋" w:eastAsia="仿宋" w:hAnsi="仿宋"/>
          <w:color w:val="000000"/>
          <w:sz w:val="24"/>
          <w:szCs w:val="22"/>
        </w:rPr>
      </w:pPr>
      <w:r>
        <w:rPr>
          <w:rFonts w:ascii="仿宋" w:eastAsia="仿宋" w:hAnsi="仿宋" w:hint="eastAsia"/>
          <w:color w:val="000000"/>
          <w:sz w:val="24"/>
          <w:szCs w:val="22"/>
        </w:rPr>
        <w:lastRenderedPageBreak/>
        <w:t>工商银行具备完善的公司治理结构、内部稽核监控制度和风险控制制度，我行在履行托管职责中，严格遵守有关法律法规、托管协议的规定，尽职尽责地履行托管义务并安全保管托管资产。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9F09CA" w:rsidRDefault="009F09CA">
      <w:pPr>
        <w:jc w:val="left"/>
        <w:rPr>
          <w:rFonts w:ascii="仿宋" w:eastAsia="仿宋" w:hAnsi="仿宋"/>
          <w:b/>
          <w:color w:val="000000"/>
          <w:sz w:val="24"/>
        </w:rPr>
      </w:pPr>
    </w:p>
    <w:p w:rsidR="009F09CA" w:rsidRDefault="009F09CA">
      <w:pPr>
        <w:jc w:val="left"/>
        <w:rPr>
          <w:rFonts w:ascii="仿宋" w:eastAsia="仿宋" w:hAnsi="仿宋"/>
          <w:color w:val="000000"/>
          <w:sz w:val="24"/>
        </w:rPr>
      </w:pPr>
    </w:p>
    <w:sectPr w:rsidR="009F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WT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1FE1"/>
    <w:rsid w:val="002F7C9A"/>
    <w:rsid w:val="009F09CA"/>
    <w:rsid w:val="00E8697A"/>
    <w:rsid w:val="00FD14C5"/>
    <w:rsid w:val="023D3E26"/>
    <w:rsid w:val="04836438"/>
    <w:rsid w:val="07F36610"/>
    <w:rsid w:val="0BE9219C"/>
    <w:rsid w:val="0D2D75E8"/>
    <w:rsid w:val="12767544"/>
    <w:rsid w:val="20B912D1"/>
    <w:rsid w:val="2311391C"/>
    <w:rsid w:val="239E502E"/>
    <w:rsid w:val="24E8576B"/>
    <w:rsid w:val="25934840"/>
    <w:rsid w:val="27F5446E"/>
    <w:rsid w:val="28DB6496"/>
    <w:rsid w:val="294A584A"/>
    <w:rsid w:val="31BD3F90"/>
    <w:rsid w:val="39433067"/>
    <w:rsid w:val="39AA15AF"/>
    <w:rsid w:val="3A530339"/>
    <w:rsid w:val="3A680E02"/>
    <w:rsid w:val="3C1C2FB8"/>
    <w:rsid w:val="46E13057"/>
    <w:rsid w:val="46E3326F"/>
    <w:rsid w:val="4BEE4F7F"/>
    <w:rsid w:val="4CD162A0"/>
    <w:rsid w:val="530B5FD0"/>
    <w:rsid w:val="55BE6267"/>
    <w:rsid w:val="5F431E6C"/>
    <w:rsid w:val="68BF289F"/>
    <w:rsid w:val="6D0C3B99"/>
    <w:rsid w:val="6E211FE1"/>
    <w:rsid w:val="71F0393A"/>
    <w:rsid w:val="7A1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7BD5C5-6EA8-4E46-9B98-000DA89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ndale WT" w:eastAsia="Andale WT" w:hAnsi="Andale WT" w:cs="Andale WT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季度报告</dc:title>
  <dc:creator>gdgz-wenjx</dc:creator>
  <cp:lastModifiedBy>苏晓雅</cp:lastModifiedBy>
  <cp:revision>4</cp:revision>
  <dcterms:created xsi:type="dcterms:W3CDTF">2022-10-20T07:48:00Z</dcterms:created>
  <dcterms:modified xsi:type="dcterms:W3CDTF">2024-04-18T01:51:00Z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