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9B" w:rsidRDefault="00604CFE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604CFE"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川银系列“美日利”人民币理财产品2023</w:t>
      </w:r>
      <w:r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年</w:t>
      </w:r>
      <w:r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  <w:t>度报告</w:t>
      </w:r>
    </w:p>
    <w:p w:rsidR="006E7A9B" w:rsidRDefault="00604CFE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月1日-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2023年12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</w:p>
    <w:p w:rsidR="006E7A9B" w:rsidRDefault="006E7A9B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6E7A9B" w:rsidRDefault="00604CFE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§1  重要提示</w:t>
      </w: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产品管理人保证本报告所载资料不存在虚假记载、误导性陈述或重大遗漏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,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并对其内容的真实性、准确性和完整性承担个别及连带责任。</w:t>
      </w: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产品托管人中国工商银行股份有限公司，已复核了本报告中的财务指标、净值表现和投资组合报告等内容，保证复核内容不存在虚假记载、误导性陈述或者重大遗漏。</w:t>
      </w: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本报告中财务资料未经审计。</w:t>
      </w:r>
    </w:p>
    <w:p w:rsidR="006E7A9B" w:rsidRDefault="006E7A9B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E7A9B" w:rsidRDefault="00604CFE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本报告期自起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月1日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至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2023年12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止。</w:t>
      </w:r>
    </w:p>
    <w:p w:rsidR="006E7A9B" w:rsidRDefault="006E7A9B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6E7A9B" w:rsidRDefault="00604CFE">
      <w:pPr>
        <w:widowControl/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§2  产品概况</w:t>
      </w:r>
    </w:p>
    <w:p w:rsidR="006E7A9B" w:rsidRDefault="006E7A9B">
      <w:pPr>
        <w:widowControl/>
        <w:jc w:val="center"/>
        <w:rPr>
          <w:rFonts w:ascii="仿宋" w:eastAsia="仿宋" w:hAnsi="仿宋"/>
          <w:b/>
          <w:color w:val="000000"/>
          <w:sz w:val="24"/>
          <w:lang w:eastAsia="en-US"/>
        </w:rPr>
      </w:pPr>
    </w:p>
    <w:tbl>
      <w:tblPr>
        <w:tblW w:w="7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677"/>
      </w:tblGrid>
      <w:tr w:rsidR="006E7A9B">
        <w:trPr>
          <w:trHeight w:val="319"/>
          <w:jc w:val="center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川银系列“美日利”</w:t>
            </w:r>
            <w:r>
              <w:rPr>
                <w:rFonts w:ascii="仿宋" w:eastAsia="仿宋" w:hAnsi="仿宋"/>
                <w:color w:val="000000"/>
                <w:sz w:val="24"/>
              </w:rPr>
              <w:t>人民币理财产品</w:t>
            </w:r>
          </w:p>
        </w:tc>
      </w:tr>
      <w:tr w:rsidR="006E7A9B">
        <w:trPr>
          <w:trHeight w:val="32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C1079020000071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非保本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净值型理财产品</w:t>
            </w:r>
          </w:p>
        </w:tc>
      </w:tr>
      <w:tr w:rsidR="006E7A9B">
        <w:trPr>
          <w:trHeight w:val="52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textAlignment w:val="top"/>
              <w:rPr>
                <w:rFonts w:eastAsia="宋体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2,397,292,011.61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非保本浮动收益型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公募</w:t>
            </w:r>
          </w:p>
        </w:tc>
      </w:tr>
      <w:tr w:rsidR="006E7A9B">
        <w:trPr>
          <w:trHeight w:val="140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spacing w:before="199" w:after="199"/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100%投资于期限在1年以内（含1年）的银行活期存款及银行定期存款、债券回购、中央银行票据、同业存单，剩余期限在397天以内（含397天）的债券、在银行间市场和证券交易所市场发行的资产支持证券，以及银保监会、中国人民银行认可的其他具有良好流动性的货币市场工具。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2020年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月3日    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119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108.45%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1级：低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四川银行股份有限公司</w:t>
            </w:r>
          </w:p>
        </w:tc>
      </w:tr>
      <w:tr w:rsidR="006E7A9B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产品托管人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中国工商银行股份有限公司</w:t>
            </w:r>
          </w:p>
        </w:tc>
      </w:tr>
    </w:tbl>
    <w:p w:rsidR="006E7A9B" w:rsidRDefault="006E7A9B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6E7A9B" w:rsidRDefault="006E7A9B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6E7A9B" w:rsidRDefault="00604CFE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§3  产品业绩表现</w:t>
      </w:r>
    </w:p>
    <w:p w:rsidR="006E7A9B" w:rsidRDefault="00604CFE">
      <w:pPr>
        <w:jc w:val="righ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单位：人民币元</w:t>
      </w:r>
    </w:p>
    <w:p w:rsidR="006E7A9B" w:rsidRDefault="006E7A9B">
      <w:pPr>
        <w:jc w:val="right"/>
        <w:rPr>
          <w:rFonts w:ascii="仿宋" w:eastAsia="仿宋" w:hAnsi="仿宋"/>
          <w:color w:val="000000"/>
          <w:sz w:val="24"/>
        </w:rPr>
      </w:pPr>
    </w:p>
    <w:tbl>
      <w:tblPr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5890"/>
      </w:tblGrid>
      <w:tr w:rsidR="006E7A9B">
        <w:trPr>
          <w:trHeight w:val="282"/>
          <w:jc w:val="center"/>
        </w:trPr>
        <w:tc>
          <w:tcPr>
            <w:tcW w:w="3080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</w:p>
        </w:tc>
        <w:tc>
          <w:tcPr>
            <w:tcW w:w="589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报告期（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2023年1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月1日至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2023年12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日）</w:t>
            </w:r>
          </w:p>
        </w:tc>
      </w:tr>
      <w:tr w:rsidR="006E7A9B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1.期末产品资产净值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2,397,292,011.61</w:t>
            </w:r>
          </w:p>
        </w:tc>
      </w:tr>
      <w:tr w:rsidR="006E7A9B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2.期末产品份额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2,397,292,011.61</w:t>
            </w:r>
          </w:p>
        </w:tc>
      </w:tr>
      <w:tr w:rsidR="006E7A9B">
        <w:trPr>
          <w:trHeight w:val="305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3.期末产品份额净值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1.0000</w:t>
            </w:r>
          </w:p>
        </w:tc>
      </w:tr>
    </w:tbl>
    <w:p w:rsidR="006E7A9B" w:rsidRDefault="006E7A9B">
      <w:pPr>
        <w:jc w:val="left"/>
        <w:rPr>
          <w:rFonts w:ascii="仿宋" w:eastAsia="仿宋" w:hAnsi="仿宋"/>
          <w:color w:val="000000"/>
          <w:sz w:val="24"/>
          <w:lang w:eastAsia="en-US"/>
        </w:rPr>
      </w:pPr>
    </w:p>
    <w:p w:rsidR="006E7A9B" w:rsidRDefault="00604CFE">
      <w:pPr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报告期内保持对市场的密切关注，运用多种方式为客户创造收益，</w:t>
      </w:r>
      <w:r>
        <w:rPr>
          <w:rFonts w:ascii="仿宋" w:eastAsia="仿宋" w:hAnsi="仿宋" w:hint="eastAsia"/>
          <w:color w:val="000000"/>
          <w:sz w:val="24"/>
        </w:rPr>
        <w:t>年度末产品基金单位当日收益为0.6999，七日年化为2.5457</w:t>
      </w:r>
      <w:r>
        <w:rPr>
          <w:rFonts w:ascii="仿宋" w:eastAsia="仿宋" w:hAnsi="仿宋"/>
          <w:color w:val="000000"/>
          <w:sz w:val="24"/>
        </w:rPr>
        <w:t>。</w:t>
      </w:r>
    </w:p>
    <w:p w:rsidR="006E7A9B" w:rsidRDefault="006E7A9B">
      <w:pPr>
        <w:jc w:val="left"/>
        <w:rPr>
          <w:rFonts w:ascii="仿宋" w:eastAsia="仿宋" w:hAnsi="仿宋"/>
          <w:color w:val="000000"/>
          <w:sz w:val="24"/>
        </w:rPr>
      </w:pPr>
    </w:p>
    <w:p w:rsidR="006E7A9B" w:rsidRDefault="00604CFE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§4  产品投资策略和运作分析</w:t>
      </w:r>
    </w:p>
    <w:p w:rsidR="006E7A9B" w:rsidRDefault="006E7A9B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4.1 报告期内产品投资策略和运作分析</w:t>
      </w:r>
    </w:p>
    <w:p w:rsidR="006E7A9B" w:rsidRDefault="006E7A9B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产品设立严格符合资管新规要求，投资策略为持有到期。产品自2020年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9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月成立以来，累计管理规模</w:t>
      </w:r>
      <w:r>
        <w:rPr>
          <w:rFonts w:ascii="仿宋" w:eastAsia="仿宋" w:hAnsi="仿宋" w:cs="Times New Roman"/>
          <w:kern w:val="0"/>
          <w:sz w:val="24"/>
          <w:szCs w:val="22"/>
        </w:rPr>
        <w:t>2,397,292,011.61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元，截止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2023年12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日，净值</w:t>
      </w:r>
      <w:r>
        <w:rPr>
          <w:rFonts w:ascii="仿宋" w:eastAsia="仿宋" w:hAnsi="仿宋" w:cs="Times New Roman"/>
          <w:kern w:val="0"/>
          <w:sz w:val="24"/>
          <w:szCs w:val="22"/>
        </w:rPr>
        <w:t>2,397,292,011.61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。</w:t>
      </w:r>
    </w:p>
    <w:p w:rsidR="006E7A9B" w:rsidRDefault="006E7A9B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4.2报告期内产品主要投资风险</w:t>
      </w:r>
    </w:p>
    <w:p w:rsidR="006E7A9B" w:rsidRDefault="006E7A9B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 w:rsidR="006E7A9B" w:rsidRDefault="006E7A9B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4.3产品流动性风险分析</w:t>
      </w:r>
    </w:p>
    <w:p w:rsidR="006E7A9B" w:rsidRDefault="00604CFE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</w:t>
      </w:r>
    </w:p>
    <w:p w:rsidR="001908FD" w:rsidRDefault="001908FD" w:rsidP="001908FD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本产品主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要投资范围为标准化资产，并保有一定流动性储备，整体流动性风险可控</w:t>
      </w:r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。本产品通过额度控制、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动态监测</w:t>
      </w:r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、正回购及变现高流动性资产的方式应对流动性风险。具体包括：一是跟踪资金申购赎回情况，提前备付流动资金；二是根据产品的期限，合理安排投资资产剩余期限，预防流动性风险；三是产品持有一定比例的高流动性资产，赎回前主要通过储备的流动性或卖出资产变现，满足产品的流动性需求。</w:t>
      </w:r>
    </w:p>
    <w:p w:rsidR="006E7A9B" w:rsidRPr="001908FD" w:rsidRDefault="006E7A9B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bookmarkStart w:id="0" w:name="_GoBack"/>
      <w:bookmarkEnd w:id="0"/>
    </w:p>
    <w:p w:rsidR="006E7A9B" w:rsidRDefault="00604CFE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§5 投资组合报告</w:t>
      </w:r>
    </w:p>
    <w:p w:rsidR="006E7A9B" w:rsidRDefault="006E7A9B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6E7A9B" w:rsidRDefault="00604CFE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5.1 产品投资资产种类</w:t>
      </w:r>
    </w:p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20"/>
        <w:gridCol w:w="2919"/>
        <w:gridCol w:w="2385"/>
      </w:tblGrid>
      <w:tr w:rsidR="006E7A9B">
        <w:trPr>
          <w:trHeight w:val="282"/>
        </w:trPr>
        <w:tc>
          <w:tcPr>
            <w:tcW w:w="689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332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</w:p>
        </w:tc>
        <w:tc>
          <w:tcPr>
            <w:tcW w:w="291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面值(元)</w:t>
            </w:r>
          </w:p>
        </w:tc>
        <w:tc>
          <w:tcPr>
            <w:tcW w:w="2385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产品总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2,309,851,904.82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88.85</w:t>
            </w: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其中：债券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2,309,851,904.82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88.85</w:t>
            </w: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资产支持证券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4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5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其中：股票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6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7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8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9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160,091,962.53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6.16</w:t>
            </w: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10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 xml:space="preserve">  其中：买断式回购的买入返售金融资产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1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129,905,770.31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5.00</w:t>
            </w: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numPr>
                <w:ilvl w:val="0"/>
                <w:numId w:val="1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6E7A9B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E7A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2,599,849,637.66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100.00</w:t>
            </w:r>
          </w:p>
        </w:tc>
      </w:tr>
    </w:tbl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E7A9B" w:rsidRDefault="00604CFE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5.2 前十大资产持仓情况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129"/>
        <w:gridCol w:w="1991"/>
        <w:gridCol w:w="2203"/>
        <w:gridCol w:w="2366"/>
      </w:tblGrid>
      <w:tr w:rsidR="006E7A9B">
        <w:trPr>
          <w:trHeight w:val="282"/>
        </w:trPr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212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</w:p>
        </w:tc>
        <w:tc>
          <w:tcPr>
            <w:tcW w:w="1991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资产面值(元)</w:t>
            </w:r>
          </w:p>
        </w:tc>
        <w:tc>
          <w:tcPr>
            <w:tcW w:w="2203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资产公允价值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产品净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23深圳前海微众银行CD035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99,930,200.00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3.84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23江西银行CD160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99,784,200.00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3.84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23晋商银行CD141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99,484,300.00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3.83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23天津农村商业银行CD214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69,321,210.00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2.67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23贵州银行CD045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69,253,240.00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2.66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23渤海银行CD335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49,949,550.00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1.92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23渤海银行CD351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49,914,450.00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1.92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23建设银行CD290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49,895,800.00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1.92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23深圳前海微众银行CD046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49,893,250.00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1.92</w:t>
            </w:r>
          </w:p>
        </w:tc>
      </w:tr>
      <w:tr w:rsidR="006E7A9B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23交通银行CD268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49,892,600.00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E7A9B" w:rsidRDefault="00604CF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1.92</w:t>
            </w:r>
          </w:p>
        </w:tc>
      </w:tr>
    </w:tbl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E7A9B" w:rsidRDefault="00604CFE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§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6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托管人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报告</w:t>
      </w:r>
    </w:p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  <w:lang w:eastAsia="en-US"/>
        </w:rPr>
      </w:pPr>
    </w:p>
    <w:p w:rsidR="006E7A9B" w:rsidRDefault="00604CFE">
      <w:pPr>
        <w:widowControl/>
        <w:spacing w:line="360" w:lineRule="auto"/>
        <w:ind w:firstLineChars="100" w:firstLine="240"/>
        <w:jc w:val="left"/>
        <w:rPr>
          <w:rFonts w:ascii="仿宋" w:eastAsia="仿宋" w:hAnsi="仿宋"/>
          <w:color w:val="000000"/>
          <w:sz w:val="24"/>
          <w:szCs w:val="22"/>
        </w:rPr>
      </w:pPr>
      <w:r>
        <w:rPr>
          <w:rFonts w:ascii="仿宋" w:eastAsia="仿宋" w:hAnsi="仿宋" w:hint="eastAsia"/>
          <w:color w:val="000000"/>
          <w:sz w:val="24"/>
          <w:szCs w:val="22"/>
        </w:rPr>
        <w:lastRenderedPageBreak/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E7A9B" w:rsidRDefault="006E7A9B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04CFE" w:rsidRDefault="00604CFE" w:rsidP="00604CFE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604CFE" w:rsidRDefault="00604CFE" w:rsidP="00604CFE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§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7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关联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交易情况</w:t>
      </w:r>
    </w:p>
    <w:p w:rsidR="006E7A9B" w:rsidRDefault="00604CFE" w:rsidP="00604CFE">
      <w:pPr>
        <w:ind w:firstLineChars="100" w:firstLine="24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  <w:szCs w:val="22"/>
        </w:rPr>
        <w:t>无</w:t>
      </w:r>
      <w:r>
        <w:rPr>
          <w:rFonts w:ascii="仿宋" w:eastAsia="仿宋" w:hAnsi="仿宋"/>
          <w:color w:val="000000"/>
          <w:sz w:val="24"/>
          <w:szCs w:val="22"/>
        </w:rPr>
        <w:t>。</w:t>
      </w:r>
    </w:p>
    <w:sectPr w:rsidR="006E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0D" w:rsidRDefault="000F710D" w:rsidP="001908FD">
      <w:r>
        <w:separator/>
      </w:r>
    </w:p>
  </w:endnote>
  <w:endnote w:type="continuationSeparator" w:id="0">
    <w:p w:rsidR="000F710D" w:rsidRDefault="000F710D" w:rsidP="0019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0D" w:rsidRDefault="000F710D" w:rsidP="001908FD">
      <w:r>
        <w:separator/>
      </w:r>
    </w:p>
  </w:footnote>
  <w:footnote w:type="continuationSeparator" w:id="0">
    <w:p w:rsidR="000F710D" w:rsidRDefault="000F710D" w:rsidP="0019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FE1"/>
    <w:rsid w:val="000F710D"/>
    <w:rsid w:val="001908FD"/>
    <w:rsid w:val="00604CFE"/>
    <w:rsid w:val="006E7A9B"/>
    <w:rsid w:val="023D3E26"/>
    <w:rsid w:val="04836438"/>
    <w:rsid w:val="07F36610"/>
    <w:rsid w:val="0BE9219C"/>
    <w:rsid w:val="0D2D75E8"/>
    <w:rsid w:val="12767544"/>
    <w:rsid w:val="20B912D1"/>
    <w:rsid w:val="239E502E"/>
    <w:rsid w:val="24E8576B"/>
    <w:rsid w:val="27F5446E"/>
    <w:rsid w:val="28DB6496"/>
    <w:rsid w:val="294A584A"/>
    <w:rsid w:val="31BD3F90"/>
    <w:rsid w:val="39433067"/>
    <w:rsid w:val="39AA15AF"/>
    <w:rsid w:val="3A680E02"/>
    <w:rsid w:val="3C1C2FB8"/>
    <w:rsid w:val="46E13057"/>
    <w:rsid w:val="46E3326F"/>
    <w:rsid w:val="4BEE4F7F"/>
    <w:rsid w:val="4CD162A0"/>
    <w:rsid w:val="530B5FD0"/>
    <w:rsid w:val="55BE6267"/>
    <w:rsid w:val="5B7A002D"/>
    <w:rsid w:val="5F431E6C"/>
    <w:rsid w:val="68BF289F"/>
    <w:rsid w:val="6D0C3B99"/>
    <w:rsid w:val="6E211FE1"/>
    <w:rsid w:val="71F0393A"/>
    <w:rsid w:val="7A1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7BDFFC-9F8B-493F-85DB-FBC2B64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0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08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90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08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季度报告</dc:title>
  <dc:creator>gdgz-wenjx</dc:creator>
  <cp:lastModifiedBy>苏晓雅</cp:lastModifiedBy>
  <cp:revision>3</cp:revision>
  <dcterms:created xsi:type="dcterms:W3CDTF">2022-10-20T07:48:00Z</dcterms:created>
  <dcterms:modified xsi:type="dcterms:W3CDTF">2024-04-18T01:51:00Z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