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360" w:rsidRDefault="00A24360">
      <w:pPr>
        <w:widowControl/>
        <w:jc w:val="left"/>
      </w:pPr>
    </w:p>
    <w:p w:rsidR="00A24360" w:rsidRDefault="00506D2F">
      <w:pPr>
        <w:widowControl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四川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银行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3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度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理财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  <w:t>业务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3"/>
          <w:szCs w:val="43"/>
          <w:lang w:bidi="ar"/>
        </w:rPr>
        <w:t>报告</w:t>
      </w:r>
    </w:p>
    <w:p w:rsidR="00A24360" w:rsidRDefault="00506D2F">
      <w:pPr>
        <w:widowControl/>
        <w:ind w:firstLineChars="200" w:firstLine="640"/>
        <w:jc w:val="left"/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本报告报告期为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运行情况公告如下：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A24360" w:rsidRDefault="00506D2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、理财业务总体运行情况</w:t>
      </w:r>
    </w:p>
    <w:p w:rsidR="00A24360" w:rsidRDefault="00506D2F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报告期内四川银行共发行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成立理财产品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92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期，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各类产品净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募集资金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48.18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亿元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;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到期理财产品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期，合计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58.68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亿元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;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月末，全行理财产品余额为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183.34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亿元。具体分类如下：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638"/>
        <w:gridCol w:w="1377"/>
        <w:gridCol w:w="1148"/>
        <w:gridCol w:w="1148"/>
        <w:gridCol w:w="1148"/>
      </w:tblGrid>
      <w:tr w:rsidR="00A24360">
        <w:trPr>
          <w:trHeight w:val="396"/>
        </w:trPr>
        <w:tc>
          <w:tcPr>
            <w:tcW w:w="345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产品类型</w:t>
            </w:r>
          </w:p>
        </w:tc>
        <w:tc>
          <w:tcPr>
            <w:tcW w:w="137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发行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数量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净募集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金额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(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亿元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)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到期数量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到期金额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(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亿元</w:t>
            </w:r>
            <w:r>
              <w:rPr>
                <w:rStyle w:val="font21"/>
                <w:rFonts w:ascii="仿宋" w:eastAsia="仿宋" w:hAnsi="仿宋" w:cs="仿宋" w:hint="eastAsia"/>
                <w:lang w:bidi="ar"/>
              </w:rPr>
              <w:t>)</w:t>
            </w:r>
          </w:p>
        </w:tc>
      </w:tr>
      <w:tr w:rsidR="00A24360">
        <w:trPr>
          <w:trHeight w:val="364"/>
        </w:trPr>
        <w:tc>
          <w:tcPr>
            <w:tcW w:w="34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49"/>
        </w:trPr>
        <w:tc>
          <w:tcPr>
            <w:tcW w:w="1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按募集方式划分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公募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48.18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54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58.68</w:t>
            </w: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49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私募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17"/>
        </w:trPr>
        <w:tc>
          <w:tcPr>
            <w:tcW w:w="1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投资性质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划分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固定收益类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48.18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54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58.68</w:t>
            </w: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17"/>
        </w:trPr>
        <w:tc>
          <w:tcPr>
            <w:tcW w:w="1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按运作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模式划分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封闭式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33.32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54</w:t>
            </w:r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58.68</w:t>
            </w: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开放式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14.86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0</w:t>
            </w: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17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24360">
        <w:trPr>
          <w:trHeight w:val="312"/>
        </w:trPr>
        <w:tc>
          <w:tcPr>
            <w:tcW w:w="1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A24360" w:rsidRDefault="00506D2F">
      <w:pPr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 xml:space="preserve">                                                                               </w:t>
      </w:r>
    </w:p>
    <w:p w:rsidR="00A24360" w:rsidRDefault="00506D2F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期末存续理财产品情况</w:t>
      </w:r>
    </w:p>
    <w:p w:rsidR="00A24360" w:rsidRDefault="00506D2F">
      <w:pPr>
        <w:spacing w:line="600" w:lineRule="exact"/>
        <w:ind w:firstLineChars="200" w:firstLine="640"/>
        <w:contextualSpacing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月末，我行存续理财产品共计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期，余额共计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183.34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亿元。具体分类如下：</w:t>
      </w:r>
    </w:p>
    <w:p w:rsidR="00A24360" w:rsidRDefault="00A24360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tbl>
      <w:tblPr>
        <w:tblW w:w="83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9"/>
        <w:gridCol w:w="1036"/>
        <w:gridCol w:w="1418"/>
        <w:gridCol w:w="1090"/>
        <w:gridCol w:w="1276"/>
      </w:tblGrid>
      <w:tr w:rsidR="00A24360">
        <w:trPr>
          <w:trHeight w:val="743"/>
          <w:jc w:val="center"/>
        </w:trPr>
        <w:tc>
          <w:tcPr>
            <w:tcW w:w="3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产品类型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202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月末数量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只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）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202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月末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亿元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)</w:t>
            </w:r>
          </w:p>
        </w:tc>
        <w:tc>
          <w:tcPr>
            <w:tcW w:w="1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202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年初数量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只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202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年初</w:t>
            </w:r>
          </w:p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亿元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)</w:t>
            </w:r>
          </w:p>
        </w:tc>
      </w:tr>
      <w:tr w:rsidR="00A24360">
        <w:trPr>
          <w:trHeight w:val="696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按募集方式划分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公募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183.34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134.42</w:t>
            </w:r>
          </w:p>
        </w:tc>
      </w:tr>
      <w:tr w:rsidR="00A24360">
        <w:trPr>
          <w:trHeight w:val="696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私募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</w:tr>
      <w:tr w:rsidR="00A24360">
        <w:trPr>
          <w:trHeight w:val="664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按投资性质划分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固定收益类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lang w:bidi="ar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183.34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134.42</w:t>
            </w:r>
          </w:p>
        </w:tc>
      </w:tr>
      <w:tr w:rsidR="00A24360">
        <w:trPr>
          <w:trHeight w:val="664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其他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</w:tr>
      <w:tr w:rsidR="00A24360">
        <w:trPr>
          <w:trHeight w:val="664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按运作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模式划分</w:t>
            </w:r>
            <w:r>
              <w:rPr>
                <w:rStyle w:val="a5"/>
                <w:rFonts w:ascii="仿宋" w:eastAsia="仿宋" w:hAnsi="仿宋" w:cs="仿宋" w:hint="eastAsia"/>
                <w:color w:val="000000"/>
                <w:lang w:bidi="ar"/>
              </w:rPr>
              <w:footnoteReference w:id="1"/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封闭式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lang w:bidi="ar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110.10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75.98</w:t>
            </w:r>
          </w:p>
        </w:tc>
      </w:tr>
      <w:tr w:rsidR="00A24360">
        <w:trPr>
          <w:trHeight w:val="664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A24360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开放式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3.24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24360" w:rsidRDefault="00506D2F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58.43</w:t>
            </w:r>
          </w:p>
        </w:tc>
      </w:tr>
    </w:tbl>
    <w:p w:rsidR="00A24360" w:rsidRDefault="00506D2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三、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理财产品投资资产情况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A24360" w:rsidRDefault="00506D2F">
      <w:pPr>
        <w:ind w:left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z w:val="32"/>
          <w:szCs w:val="32"/>
        </w:rPr>
        <w:t>、期末投资资产情况</w:t>
      </w:r>
    </w:p>
    <w:p w:rsidR="00A24360" w:rsidRDefault="00506D2F">
      <w:pPr>
        <w:spacing w:line="600" w:lineRule="exact"/>
        <w:ind w:firstLineChars="200" w:firstLine="640"/>
        <w:contextualSpacing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截至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月末，我行理财产品穿透后底层资产投资标的主要包含：现金、债券、同业存单、交易所质押式逆回购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非标准化债权资产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等，具体分类及占比如下：</w:t>
      </w:r>
    </w:p>
    <w:tbl>
      <w:tblPr>
        <w:tblW w:w="9094" w:type="dxa"/>
        <w:jc w:val="center"/>
        <w:tblLayout w:type="fixed"/>
        <w:tblLook w:val="04A0" w:firstRow="1" w:lastRow="0" w:firstColumn="1" w:lastColumn="0" w:noHBand="0" w:noVBand="1"/>
      </w:tblPr>
      <w:tblGrid>
        <w:gridCol w:w="2458"/>
        <w:gridCol w:w="1533"/>
        <w:gridCol w:w="1701"/>
        <w:gridCol w:w="1612"/>
        <w:gridCol w:w="1790"/>
      </w:tblGrid>
      <w:tr w:rsidR="00A24360">
        <w:trPr>
          <w:trHeight w:val="327"/>
          <w:jc w:val="center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底层资产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</w:t>
            </w:r>
            <w:r>
              <w:rPr>
                <w:rFonts w:ascii="仿宋" w:eastAsia="仿宋" w:hAnsi="仿宋"/>
                <w:color w:val="000000"/>
              </w:rPr>
              <w:t>3</w:t>
            </w:r>
            <w:r>
              <w:rPr>
                <w:rFonts w:ascii="仿宋" w:eastAsia="仿宋" w:hAnsi="仿宋" w:hint="eastAsia"/>
                <w:color w:val="000000"/>
              </w:rPr>
              <w:t>年末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202</w:t>
            </w:r>
            <w:r>
              <w:rPr>
                <w:rFonts w:ascii="仿宋" w:eastAsia="仿宋" w:hAnsi="仿宋"/>
                <w:color w:val="000000"/>
              </w:rPr>
              <w:t>3</w:t>
            </w:r>
            <w:r>
              <w:rPr>
                <w:rFonts w:ascii="仿宋" w:eastAsia="仿宋" w:hAnsi="仿宋" w:hint="eastAsia"/>
                <w:color w:val="000000"/>
              </w:rPr>
              <w:t>年初</w:t>
            </w:r>
          </w:p>
        </w:tc>
      </w:tr>
      <w:tr w:rsidR="00A24360">
        <w:trPr>
          <w:trHeight w:val="327"/>
          <w:jc w:val="center"/>
        </w:trPr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4360" w:rsidRDefault="00A24360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金额（亿元）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占比（</w:t>
            </w:r>
            <w:r>
              <w:rPr>
                <w:rFonts w:ascii="仿宋" w:eastAsia="仿宋" w:hAnsi="仿宋" w:hint="eastAsia"/>
                <w:color w:val="000000"/>
              </w:rPr>
              <w:t>%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金额（亿元）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占比（</w:t>
            </w:r>
            <w:r>
              <w:rPr>
                <w:rFonts w:ascii="仿宋" w:eastAsia="仿宋" w:hAnsi="仿宋" w:hint="eastAsia"/>
                <w:color w:val="000000"/>
              </w:rPr>
              <w:t>%</w:t>
            </w:r>
            <w:r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A24360">
        <w:trPr>
          <w:trHeight w:val="327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现金及银行存款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4.18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7.07</w:t>
            </w:r>
          </w:p>
        </w:tc>
      </w:tr>
      <w:tr w:rsidR="00A24360">
        <w:trPr>
          <w:trHeight w:val="327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交易所质押式逆回购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8.19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12.50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9.30</w:t>
            </w:r>
          </w:p>
        </w:tc>
      </w:tr>
      <w:tr w:rsidR="00A24360">
        <w:trPr>
          <w:trHeight w:val="324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同业存单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24.61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21.40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15.93</w:t>
            </w:r>
          </w:p>
        </w:tc>
      </w:tr>
      <w:tr w:rsidR="00A24360">
        <w:trPr>
          <w:trHeight w:val="324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债券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97.</w:t>
            </w:r>
            <w:r>
              <w:rPr>
                <w:rFonts w:ascii="仿宋" w:eastAsia="仿宋" w:hAnsi="仿宋" w:hint="eastAsia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52.21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77.67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4360" w:rsidRDefault="00506D2F">
            <w:pPr>
              <w:jc w:val="right"/>
              <w:textAlignment w:val="bottom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57.80</w:t>
            </w:r>
          </w:p>
        </w:tc>
      </w:tr>
      <w:tr w:rsidR="00A24360">
        <w:trPr>
          <w:trHeight w:val="327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非标准化债权资产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10.81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13.30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9.90</w:t>
            </w:r>
          </w:p>
        </w:tc>
      </w:tr>
      <w:tr w:rsidR="00A24360">
        <w:trPr>
          <w:trHeight w:val="337"/>
          <w:jc w:val="center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合计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100.00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134.37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4360" w:rsidRDefault="00506D2F">
            <w:pPr>
              <w:jc w:val="right"/>
              <w:textAlignment w:val="top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100.00</w:t>
            </w:r>
          </w:p>
        </w:tc>
      </w:tr>
    </w:tbl>
    <w:p w:rsidR="00A24360" w:rsidRDefault="00A24360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24360" w:rsidRDefault="00506D2F">
      <w:pPr>
        <w:widowControl/>
        <w:ind w:firstLineChars="200" w:firstLine="643"/>
        <w:jc w:val="left"/>
      </w:pPr>
      <w:r>
        <w:rPr>
          <w:rFonts w:ascii="仿宋" w:eastAsia="仿宋" w:hAnsi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hint="eastAsia"/>
          <w:b/>
          <w:bCs/>
          <w:sz w:val="32"/>
          <w:szCs w:val="32"/>
        </w:rPr>
        <w:t>、非标准化债权类资产情况</w:t>
      </w:r>
    </w:p>
    <w:p w:rsidR="00A24360" w:rsidRDefault="00506D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截至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年末</w:t>
      </w:r>
      <w:r>
        <w:rPr>
          <w:rFonts w:ascii="仿宋_GB2312" w:eastAsia="仿宋_GB2312" w:hAnsi="仿宋" w:hint="eastAsia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我行理财投资非标准化债权资产余额为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20.2</w:t>
      </w:r>
      <w:r>
        <w:rPr>
          <w:rFonts w:ascii="仿宋_GB2312" w:eastAsia="仿宋_GB2312" w:hAnsi="仿宋" w:hint="eastAsia"/>
          <w:sz w:val="32"/>
          <w:szCs w:val="32"/>
        </w:rPr>
        <w:t>亿元（按资产本金），详情如下：</w:t>
      </w:r>
    </w:p>
    <w:tbl>
      <w:tblPr>
        <w:tblW w:w="8621" w:type="dxa"/>
        <w:jc w:val="center"/>
        <w:tblLayout w:type="fixed"/>
        <w:tblLook w:val="04A0" w:firstRow="1" w:lastRow="0" w:firstColumn="1" w:lastColumn="0" w:noHBand="0" w:noVBand="1"/>
      </w:tblPr>
      <w:tblGrid>
        <w:gridCol w:w="2168"/>
        <w:gridCol w:w="1626"/>
        <w:gridCol w:w="1000"/>
        <w:gridCol w:w="1074"/>
        <w:gridCol w:w="1138"/>
        <w:gridCol w:w="775"/>
        <w:gridCol w:w="840"/>
      </w:tblGrid>
      <w:tr w:rsidR="00A24360">
        <w:trPr>
          <w:trHeight w:val="18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项目名称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融资客户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金额（亿元）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>剩余融资期限（天）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到期收益分配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交易结构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4360" w:rsidRDefault="00506D2F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风险状况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0.7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四川锦程消费金融有限责任公司同业借款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四川锦程消费金融有限责任公司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到期还本付息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同业借款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成都西盛投资集团有限公司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年度第五期理财直接融资工具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成都西盛投资集团有限公司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理财直接融资工具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海汇誉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2022-45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都城乡流动资金贷款集合资金信托计划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成都市郫都区城乡投资建设开发有限公司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集合资金信托计划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海汇誉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2022-76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城建流动资金贷款集合资金信托计划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成都香城公园城市建设集团有限公司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集合资金信托计划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华鑫信托·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号集合资金信托计划（第一期）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成都新津城市产业发展集团有限公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0.65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集合资金信托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计划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华鑫信托·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号集合资金信托计划（第二期）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成都新津城市产业发展集团有限公司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集合资金信托计划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  <w:tr w:rsidR="00A24360">
        <w:trPr>
          <w:trHeight w:val="18"/>
          <w:jc w:val="center"/>
        </w:trPr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华鑫信托·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号集合资金信托计划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成都香城产业发展集团有限公司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按季付息，到期还本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集合资金信托计划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4360" w:rsidRDefault="00506D2F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正常</w:t>
            </w:r>
          </w:p>
        </w:tc>
      </w:tr>
    </w:tbl>
    <w:p w:rsidR="00A24360" w:rsidRDefault="00506D2F">
      <w:pPr>
        <w:widowControl/>
        <w:ind w:firstLineChars="200" w:firstLine="62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A24360" w:rsidRDefault="00A24360">
      <w:pPr>
        <w:widowControl/>
        <w:jc w:val="left"/>
        <w:rPr>
          <w:rFonts w:ascii="仿宋" w:eastAsia="仿宋" w:hAnsi="仿宋" w:cs="仿宋"/>
          <w:b/>
          <w:color w:val="000000"/>
          <w:kern w:val="0"/>
          <w:sz w:val="24"/>
          <w:lang w:bidi="ar"/>
        </w:rPr>
      </w:pPr>
    </w:p>
    <w:p w:rsidR="00A24360" w:rsidRDefault="00506D2F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四、其他信息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A24360" w:rsidRDefault="00506D2F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根据《商业银行理财业务监督管理办法》（银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保监令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2018 </w:t>
      </w:r>
    </w:p>
    <w:p w:rsidR="00A24360" w:rsidRDefault="00506D2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年第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号）披露要求，截至</w:t>
      </w:r>
      <w:r>
        <w:rPr>
          <w:rFonts w:ascii="仿宋_GB2312" w:eastAsia="仿宋_GB2312" w:hAnsi="仿宋" w:hint="eastAsia"/>
          <w:sz w:val="32"/>
          <w:szCs w:val="32"/>
        </w:rPr>
        <w:t>2023</w:t>
      </w:r>
      <w:r>
        <w:rPr>
          <w:rFonts w:ascii="仿宋_GB2312" w:eastAsia="仿宋_GB2312" w:hAnsi="仿宋" w:hint="eastAsia"/>
          <w:sz w:val="32"/>
          <w:szCs w:val="32"/>
        </w:rPr>
        <w:t>年末，我行理财产品投资于关联方资产总额</w:t>
      </w:r>
      <w:r>
        <w:rPr>
          <w:rFonts w:ascii="仿宋_GB2312" w:eastAsia="仿宋_GB2312" w:hAnsi="仿宋" w:hint="eastAsia"/>
          <w:sz w:val="32"/>
          <w:szCs w:val="32"/>
        </w:rPr>
        <w:t>12.</w:t>
      </w:r>
      <w:r w:rsidR="003F61C6">
        <w:rPr>
          <w:rFonts w:ascii="仿宋_GB2312" w:eastAsia="仿宋_GB2312" w:hAnsi="仿宋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亿元（按资产本金），详情如下：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519"/>
        <w:gridCol w:w="1845"/>
      </w:tblGrid>
      <w:tr w:rsidR="00A24360">
        <w:tc>
          <w:tcPr>
            <w:tcW w:w="6519" w:type="dxa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资产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名称</w:t>
            </w:r>
          </w:p>
        </w:tc>
        <w:tc>
          <w:tcPr>
            <w:tcW w:w="1845" w:type="dxa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金额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亿元</w:t>
            </w:r>
            <w:r>
              <w:rPr>
                <w:rFonts w:ascii="仿宋" w:eastAsia="仿宋" w:hAnsi="仿宋" w:cs="仿宋"/>
                <w:color w:val="000000"/>
                <w:lang w:bidi="ar"/>
              </w:rPr>
              <w:t>）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川发资管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PPN001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0.80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川能投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MTN002B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0.10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港荣投资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MTN001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1.50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眉府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1.50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眉天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lang w:bidi="ar"/>
              </w:rPr>
              <w:t>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1.50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攀国投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2.30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21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天投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Y2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2.00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港荣投资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MTN001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0.70 </w:t>
            </w:r>
          </w:p>
        </w:tc>
      </w:tr>
      <w:tr w:rsidR="00A24360">
        <w:tc>
          <w:tcPr>
            <w:tcW w:w="6519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凉山发展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MTN001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 xml:space="preserve">1.70 </w:t>
            </w:r>
          </w:p>
        </w:tc>
      </w:tr>
      <w:tr w:rsidR="003F61C6">
        <w:tc>
          <w:tcPr>
            <w:tcW w:w="6519" w:type="dxa"/>
            <w:shd w:val="clear" w:color="auto" w:fill="auto"/>
            <w:vAlign w:val="center"/>
          </w:tcPr>
          <w:p w:rsidR="003F61C6" w:rsidRDefault="003F61C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23南京银行CD175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3F61C6" w:rsidRDefault="003F61C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0.50</w:t>
            </w:r>
          </w:p>
        </w:tc>
      </w:tr>
      <w:tr w:rsidR="00A24360">
        <w:tc>
          <w:tcPr>
            <w:tcW w:w="6519" w:type="dxa"/>
          </w:tcPr>
          <w:p w:rsidR="00A24360" w:rsidRDefault="00506D2F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合计</w:t>
            </w:r>
          </w:p>
        </w:tc>
        <w:tc>
          <w:tcPr>
            <w:tcW w:w="1845" w:type="dxa"/>
            <w:vAlign w:val="center"/>
          </w:tcPr>
          <w:p w:rsidR="00A24360" w:rsidRDefault="00506D2F" w:rsidP="003F61C6">
            <w:pPr>
              <w:widowControl/>
              <w:jc w:val="center"/>
              <w:rPr>
                <w:rFonts w:ascii="仿宋" w:eastAsia="仿宋" w:hAnsi="仿宋" w:cs="仿宋"/>
                <w:color w:val="00000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lang w:bidi="ar"/>
              </w:rPr>
              <w:t>12.</w:t>
            </w:r>
            <w:r w:rsidR="003F61C6">
              <w:rPr>
                <w:rFonts w:ascii="仿宋" w:eastAsia="仿宋" w:hAnsi="仿宋" w:cs="仿宋"/>
                <w:color w:val="000000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lang w:bidi="ar"/>
              </w:rPr>
              <w:t>0</w:t>
            </w:r>
          </w:p>
        </w:tc>
      </w:tr>
    </w:tbl>
    <w:p w:rsidR="00A24360" w:rsidRDefault="00A24360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highlight w:val="yellow"/>
          <w:lang w:bidi="ar"/>
        </w:rPr>
      </w:pPr>
    </w:p>
    <w:p w:rsidR="00A24360" w:rsidRDefault="00506D2F">
      <w:pPr>
        <w:widowControl/>
        <w:jc w:val="righ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四川银行股份有限公司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A24360" w:rsidRDefault="00506D2F">
      <w:pPr>
        <w:widowControl/>
        <w:jc w:val="right"/>
      </w:pPr>
      <w:r>
        <w:rPr>
          <w:rFonts w:ascii="Times New Roman" w:eastAsia="宋体" w:hAnsi="Times New Roman" w:cs="Times New Roman"/>
          <w:color w:val="000000"/>
          <w:kern w:val="0"/>
          <w:sz w:val="31"/>
          <w:szCs w:val="31"/>
          <w:lang w:bidi="ar"/>
        </w:rPr>
        <w:t>202</w:t>
      </w:r>
      <w:r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lang w:bidi="ar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31"/>
          <w:szCs w:val="31"/>
          <w:lang w:bidi="ar"/>
        </w:rPr>
        <w:t>29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日</w:t>
      </w:r>
    </w:p>
    <w:p w:rsidR="00A24360" w:rsidRDefault="00A24360"/>
    <w:sectPr w:rsidR="00A2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D2F" w:rsidRDefault="00506D2F">
      <w:r>
        <w:separator/>
      </w:r>
    </w:p>
  </w:endnote>
  <w:endnote w:type="continuationSeparator" w:id="0">
    <w:p w:rsidR="00506D2F" w:rsidRDefault="0050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D2F" w:rsidRDefault="00506D2F">
      <w:r>
        <w:separator/>
      </w:r>
    </w:p>
  </w:footnote>
  <w:footnote w:type="continuationSeparator" w:id="0">
    <w:p w:rsidR="00506D2F" w:rsidRDefault="00506D2F">
      <w:r>
        <w:continuationSeparator/>
      </w:r>
    </w:p>
  </w:footnote>
  <w:footnote w:id="1">
    <w:p w:rsidR="00A24360" w:rsidRDefault="00506D2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因分项统计四舍五入原因，存在尾差情况。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853178B"/>
    <w:multiLevelType w:val="singleLevel"/>
    <w:tmpl w:val="D853178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mE5ZDJkNDJhNzAxZmZlNDY2YmZmZDczY2Q3ZGMifQ=="/>
  </w:docVars>
  <w:rsids>
    <w:rsidRoot w:val="7D585E88"/>
    <w:rsid w:val="000F4019"/>
    <w:rsid w:val="001E6268"/>
    <w:rsid w:val="003F61C6"/>
    <w:rsid w:val="00487416"/>
    <w:rsid w:val="00506D2F"/>
    <w:rsid w:val="007408A1"/>
    <w:rsid w:val="007E45D8"/>
    <w:rsid w:val="00816F92"/>
    <w:rsid w:val="00974096"/>
    <w:rsid w:val="009A6A7C"/>
    <w:rsid w:val="00A24360"/>
    <w:rsid w:val="00EA3F20"/>
    <w:rsid w:val="02143A07"/>
    <w:rsid w:val="04A77240"/>
    <w:rsid w:val="0AF116BB"/>
    <w:rsid w:val="0B4861C6"/>
    <w:rsid w:val="0CB04EC9"/>
    <w:rsid w:val="15EB56C3"/>
    <w:rsid w:val="20494FC9"/>
    <w:rsid w:val="227E58B4"/>
    <w:rsid w:val="22F24F0E"/>
    <w:rsid w:val="23671F9E"/>
    <w:rsid w:val="23EB25CB"/>
    <w:rsid w:val="2B704D33"/>
    <w:rsid w:val="2BCC2A9E"/>
    <w:rsid w:val="33DE37FC"/>
    <w:rsid w:val="34A3421F"/>
    <w:rsid w:val="35E706E8"/>
    <w:rsid w:val="389F5823"/>
    <w:rsid w:val="420D1ED6"/>
    <w:rsid w:val="422212D1"/>
    <w:rsid w:val="4256654E"/>
    <w:rsid w:val="453C3DB3"/>
    <w:rsid w:val="458E5741"/>
    <w:rsid w:val="471809A4"/>
    <w:rsid w:val="4C8E3361"/>
    <w:rsid w:val="4F947C8B"/>
    <w:rsid w:val="4FA32CAA"/>
    <w:rsid w:val="5196484B"/>
    <w:rsid w:val="5354012A"/>
    <w:rsid w:val="5383403C"/>
    <w:rsid w:val="55AF081D"/>
    <w:rsid w:val="55CC4CE0"/>
    <w:rsid w:val="56051FA0"/>
    <w:rsid w:val="59981AA8"/>
    <w:rsid w:val="5A0D63A3"/>
    <w:rsid w:val="5B921CB2"/>
    <w:rsid w:val="5C277537"/>
    <w:rsid w:val="6CC11A42"/>
    <w:rsid w:val="6D4757C8"/>
    <w:rsid w:val="6DB22A8A"/>
    <w:rsid w:val="71BE777B"/>
    <w:rsid w:val="74443638"/>
    <w:rsid w:val="75ED4EDC"/>
    <w:rsid w:val="761E400A"/>
    <w:rsid w:val="7D585E88"/>
    <w:rsid w:val="7E714E44"/>
    <w:rsid w:val="7FF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6203F1-6620-42C5-8767-6B7C8BD5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qFormat/>
    <w:rPr>
      <w:vertAlign w:val="superscript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7ECD-10D7-4EC8-9BF1-DDB244D2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苏晓雅</dc:creator>
  <cp:lastModifiedBy>苏晓雅</cp:lastModifiedBy>
  <cp:revision>6</cp:revision>
  <dcterms:created xsi:type="dcterms:W3CDTF">2021-02-26T02:49:00Z</dcterms:created>
  <dcterms:modified xsi:type="dcterms:W3CDTF">2024-04-10T02:34:00Z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8DC5AA2BE3414294BE8D2654B0E34201</vt:lpwstr>
  </property>
</Properties>
</file>